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楷体" w:cs="Times New Roman"/>
          <w:b/>
          <w:color w:val="823C0B"/>
          <w:sz w:val="32"/>
          <w:szCs w:val="32"/>
        </w:rPr>
      </w:pPr>
      <w:bookmarkStart w:id="0" w:name="_top"/>
      <w:bookmarkEnd w:id="0"/>
      <w:r>
        <w:rPr>
          <w:rFonts w:ascii="Times New Roman" w:hAnsi="Times New Roman" w:eastAsia="楷体" w:cs="Times New Roman"/>
          <w:b/>
          <w:color w:val="823C0B"/>
          <w:sz w:val="32"/>
          <w:szCs w:val="32"/>
        </w:rPr>
        <w:t>广州期货早间直通车</w:t>
      </w:r>
    </w:p>
    <w:p>
      <w:pPr>
        <w:jc w:val="right"/>
        <w:rPr>
          <w:rFonts w:ascii="Times New Roman" w:hAnsi="Times New Roman" w:eastAsia="楷体" w:cs="Times New Roman"/>
          <w:b/>
          <w:color w:val="823C0B"/>
          <w:sz w:val="24"/>
        </w:rPr>
      </w:pPr>
    </w:p>
    <w:p>
      <w:pPr>
        <w:jc w:val="center"/>
        <w:rPr>
          <w:rFonts w:ascii="Times New Roman" w:hAnsi="Times New Roman" w:eastAsia="楷体" w:cs="Times New Roman"/>
          <w:b/>
          <w:color w:val="823C0B"/>
          <w:sz w:val="24"/>
        </w:rPr>
      </w:pPr>
      <w:r>
        <w:rPr>
          <w:rFonts w:ascii="Times New Roman" w:hAnsi="Times New Roman" w:eastAsia="楷体" w:cs="Times New Roman"/>
          <w:b/>
          <w:color w:val="823C0B"/>
          <w:sz w:val="24"/>
        </w:rPr>
        <w:t>投资咨询业务资格：证监许可【2012】1497号</w:t>
      </w:r>
    </w:p>
    <w:p>
      <w:pPr>
        <w:jc w:val="center"/>
        <w:rPr>
          <w:rFonts w:ascii="Times New Roman" w:hAnsi="Times New Roman" w:eastAsia="楷体"/>
          <w:b/>
        </w:rPr>
      </w:pPr>
      <w:r>
        <w:rPr>
          <w:rFonts w:hint="eastAsia" w:ascii="Times New Roman" w:hAnsi="Times New Roman" w:eastAsia="楷体"/>
          <w:b/>
          <w:color w:val="823C0B"/>
          <w:sz w:val="30"/>
          <w:szCs w:val="30"/>
        </w:rPr>
        <w:t>评论品种一览</w:t>
      </w:r>
    </w:p>
    <w:sdt>
      <w:sdtPr>
        <w:rPr>
          <w:rFonts w:eastAsia="宋体" w:asciiTheme="minorHAnsi" w:hAnsiTheme="minorHAnsi" w:cstheme="minorBidi"/>
          <w:b/>
          <w:bCs/>
          <w:color w:val="auto"/>
          <w:kern w:val="2"/>
          <w:sz w:val="21"/>
          <w:szCs w:val="21"/>
          <w:lang w:val="zh-CN"/>
        </w:rPr>
        <w:id w:val="1355533930"/>
        <w:docPartObj>
          <w:docPartGallery w:val="Table of Contents"/>
          <w:docPartUnique/>
        </w:docPartObj>
      </w:sdtPr>
      <w:sdtEndPr>
        <w:rPr>
          <w:rFonts w:eastAsia="宋体" w:asciiTheme="minorHAnsi" w:hAnsiTheme="minorHAnsi" w:cstheme="minorBidi"/>
          <w:b/>
          <w:bCs/>
          <w:color w:val="auto"/>
          <w:kern w:val="2"/>
          <w:sz w:val="21"/>
          <w:szCs w:val="21"/>
          <w:lang w:val="zh-CN"/>
        </w:rPr>
      </w:sdtEndPr>
      <w:sdtContent>
        <w:p>
          <w:pPr>
            <w:pStyle w:val="98"/>
            <w:rPr>
              <w:b/>
              <w:bCs/>
            </w:rPr>
          </w:pPr>
          <w:bookmarkStart w:id="49" w:name="_GoBack"/>
          <w:bookmarkEnd w:id="49"/>
        </w:p>
        <w:p>
          <w:pPr>
            <w:pStyle w:val="59"/>
            <w:tabs>
              <w:tab w:val="right" w:leader="dot" w:pos="8306"/>
            </w:tabs>
          </w:pPr>
          <w:r>
            <w:rPr>
              <w:b/>
              <w:bCs/>
            </w:rPr>
            <w:fldChar w:fldCharType="begin"/>
          </w:r>
          <w:r>
            <w:rPr>
              <w:b/>
              <w:bCs/>
            </w:rPr>
            <w:instrText xml:space="preserve"> TOC \o "1-3" \n \h \z \u </w:instrText>
          </w:r>
          <w:r>
            <w:rPr>
              <w:b/>
              <w:bCs/>
            </w:rPr>
            <w:fldChar w:fldCharType="separate"/>
          </w:r>
          <w:r>
            <w:rPr>
              <w:bCs/>
            </w:rPr>
            <w:fldChar w:fldCharType="begin"/>
          </w:r>
          <w:r>
            <w:rPr>
              <w:bCs/>
            </w:rPr>
            <w:instrText xml:space="preserve"> HYPERLINK \l _Toc6162 </w:instrText>
          </w:r>
          <w:r>
            <w:rPr>
              <w:bCs/>
            </w:rPr>
            <w:fldChar w:fldCharType="separate"/>
          </w:r>
          <w:r>
            <w:rPr>
              <w:rFonts w:hint="eastAsia" w:ascii="Times New Roman" w:hAnsi="Times New Roman" w:eastAsia="楷体"/>
              <w:szCs w:val="30"/>
            </w:rPr>
            <w:t>[金融]</w:t>
          </w:r>
          <w:r>
            <w:rPr>
              <w:bCs/>
            </w:rPr>
            <w:fldChar w:fldCharType="end"/>
          </w:r>
        </w:p>
        <w:p>
          <w:pPr>
            <w:pStyle w:val="74"/>
            <w:tabs>
              <w:tab w:val="right" w:leader="dot" w:pos="8306"/>
            </w:tabs>
          </w:pPr>
          <w:r>
            <w:rPr>
              <w:bCs/>
            </w:rPr>
            <w:fldChar w:fldCharType="begin"/>
          </w:r>
          <w:r>
            <w:rPr>
              <w:bCs/>
            </w:rPr>
            <w:instrText xml:space="preserve"> HYPERLINK \l _Toc7811 </w:instrText>
          </w:r>
          <w:r>
            <w:rPr>
              <w:bCs/>
            </w:rPr>
            <w:fldChar w:fldCharType="separate"/>
          </w:r>
          <w:r>
            <w:rPr>
              <w:rFonts w:hint="eastAsia" w:ascii="Times New Roman" w:hAnsi="Times New Roman" w:eastAsia="楷体"/>
              <w:szCs w:val="24"/>
            </w:rPr>
            <w:t>股指：震荡</w:t>
          </w:r>
          <w:r>
            <w:rPr>
              <w:bCs/>
            </w:rPr>
            <w:fldChar w:fldCharType="end"/>
          </w:r>
        </w:p>
        <w:p>
          <w:pPr>
            <w:pStyle w:val="59"/>
            <w:tabs>
              <w:tab w:val="right" w:leader="dot" w:pos="8306"/>
            </w:tabs>
          </w:pPr>
          <w:r>
            <w:rPr>
              <w:bCs/>
            </w:rPr>
            <w:fldChar w:fldCharType="begin"/>
          </w:r>
          <w:r>
            <w:rPr>
              <w:bCs/>
            </w:rPr>
            <w:instrText xml:space="preserve"> HYPERLINK \l _Toc9726 </w:instrText>
          </w:r>
          <w:r>
            <w:rPr>
              <w:bCs/>
            </w:rPr>
            <w:fldChar w:fldCharType="separate"/>
          </w:r>
          <w:r>
            <w:rPr>
              <w:rFonts w:hint="eastAsia" w:ascii="Times New Roman" w:hAnsi="Times New Roman" w:eastAsia="楷体"/>
              <w:szCs w:val="30"/>
            </w:rPr>
            <w:t>[贵金属]</w:t>
          </w:r>
          <w:r>
            <w:rPr>
              <w:bCs/>
            </w:rPr>
            <w:fldChar w:fldCharType="end"/>
          </w:r>
        </w:p>
        <w:p>
          <w:pPr>
            <w:pStyle w:val="74"/>
            <w:tabs>
              <w:tab w:val="right" w:leader="dot" w:pos="8306"/>
            </w:tabs>
          </w:pPr>
          <w:r>
            <w:rPr>
              <w:bCs/>
            </w:rPr>
            <w:fldChar w:fldCharType="begin"/>
          </w:r>
          <w:r>
            <w:rPr>
              <w:bCs/>
            </w:rPr>
            <w:instrText xml:space="preserve"> HYPERLINK \l _Toc3734 </w:instrText>
          </w:r>
          <w:r>
            <w:rPr>
              <w:bCs/>
            </w:rPr>
            <w:fldChar w:fldCharType="separate"/>
          </w:r>
          <w:r>
            <w:rPr>
              <w:rFonts w:hint="eastAsia" w:ascii="Times New Roman" w:hAnsi="Times New Roman" w:eastAsia="楷体"/>
              <w:szCs w:val="24"/>
            </w:rPr>
            <w:t>贵金属：美元指数上行，银价小幅承压</w:t>
          </w:r>
          <w:r>
            <w:rPr>
              <w:bCs/>
            </w:rPr>
            <w:fldChar w:fldCharType="end"/>
          </w:r>
        </w:p>
        <w:p>
          <w:pPr>
            <w:pStyle w:val="59"/>
            <w:tabs>
              <w:tab w:val="right" w:leader="dot" w:pos="8306"/>
            </w:tabs>
          </w:pPr>
          <w:r>
            <w:rPr>
              <w:bCs/>
            </w:rPr>
            <w:fldChar w:fldCharType="begin"/>
          </w:r>
          <w:r>
            <w:rPr>
              <w:bCs/>
            </w:rPr>
            <w:instrText xml:space="preserve"> HYPERLINK \l _Toc10596 </w:instrText>
          </w:r>
          <w:r>
            <w:rPr>
              <w:bCs/>
            </w:rPr>
            <w:fldChar w:fldCharType="separate"/>
          </w:r>
          <w:r>
            <w:rPr>
              <w:rFonts w:hint="eastAsia" w:ascii="Times New Roman" w:hAnsi="Times New Roman" w:eastAsia="楷体"/>
              <w:szCs w:val="30"/>
            </w:rPr>
            <w:t>[金属]</w:t>
          </w:r>
          <w:r>
            <w:rPr>
              <w:bCs/>
            </w:rPr>
            <w:fldChar w:fldCharType="end"/>
          </w:r>
        </w:p>
        <w:p>
          <w:pPr>
            <w:pStyle w:val="74"/>
            <w:tabs>
              <w:tab w:val="right" w:leader="dot" w:pos="8306"/>
            </w:tabs>
          </w:pPr>
          <w:r>
            <w:rPr>
              <w:bCs/>
            </w:rPr>
            <w:fldChar w:fldCharType="begin"/>
          </w:r>
          <w:r>
            <w:rPr>
              <w:bCs/>
            </w:rPr>
            <w:instrText xml:space="preserve"> HYPERLINK \l _Toc9767 </w:instrText>
          </w:r>
          <w:r>
            <w:rPr>
              <w:bCs/>
            </w:rPr>
            <w:fldChar w:fldCharType="separate"/>
          </w:r>
          <w:r>
            <w:rPr>
              <w:rFonts w:hint="eastAsia" w:ascii="楷体" w:hAnsi="楷体" w:eastAsia="楷体"/>
              <w:szCs w:val="24"/>
            </w:rPr>
            <w:t>碳酸锂：维持震荡格局，主力期价略微收跌</w:t>
          </w:r>
          <w:r>
            <w:rPr>
              <w:bCs/>
            </w:rPr>
            <w:fldChar w:fldCharType="end"/>
          </w:r>
        </w:p>
        <w:p>
          <w:pPr>
            <w:pStyle w:val="74"/>
            <w:tabs>
              <w:tab w:val="right" w:leader="dot" w:pos="8306"/>
            </w:tabs>
          </w:pPr>
          <w:r>
            <w:rPr>
              <w:bCs/>
            </w:rPr>
            <w:fldChar w:fldCharType="begin"/>
          </w:r>
          <w:r>
            <w:rPr>
              <w:bCs/>
            </w:rPr>
            <w:instrText xml:space="preserve"> HYPERLINK \l _Toc10117 </w:instrText>
          </w:r>
          <w:r>
            <w:rPr>
              <w:bCs/>
            </w:rPr>
            <w:fldChar w:fldCharType="separate"/>
          </w:r>
          <w:r>
            <w:rPr>
              <w:rFonts w:hint="eastAsia" w:ascii="楷体" w:hAnsi="楷体" w:eastAsia="楷体"/>
              <w:szCs w:val="24"/>
            </w:rPr>
            <w:t>铝：氧化铝基本面支撑偏强，沪铝窄幅震荡下方空间有限</w:t>
          </w:r>
          <w:r>
            <w:rPr>
              <w:bCs/>
            </w:rPr>
            <w:fldChar w:fldCharType="end"/>
          </w:r>
        </w:p>
        <w:p>
          <w:pPr>
            <w:pStyle w:val="74"/>
            <w:tabs>
              <w:tab w:val="right" w:leader="dot" w:pos="8306"/>
            </w:tabs>
          </w:pPr>
          <w:r>
            <w:rPr>
              <w:bCs/>
            </w:rPr>
            <w:fldChar w:fldCharType="begin"/>
          </w:r>
          <w:r>
            <w:rPr>
              <w:bCs/>
            </w:rPr>
            <w:instrText xml:space="preserve"> HYPERLINK \l _Toc24297 </w:instrText>
          </w:r>
          <w:r>
            <w:rPr>
              <w:bCs/>
            </w:rPr>
            <w:fldChar w:fldCharType="separate"/>
          </w:r>
          <w:r>
            <w:rPr>
              <w:rFonts w:hint="eastAsia" w:ascii="楷体" w:hAnsi="楷体" w:eastAsia="楷体"/>
              <w:szCs w:val="24"/>
            </w:rPr>
            <w:t>锌：锌价高位震荡上行乏力</w:t>
          </w:r>
          <w:r>
            <w:rPr>
              <w:bCs/>
            </w:rPr>
            <w:fldChar w:fldCharType="end"/>
          </w:r>
        </w:p>
        <w:p>
          <w:pPr>
            <w:pStyle w:val="74"/>
            <w:tabs>
              <w:tab w:val="right" w:leader="dot" w:pos="8306"/>
            </w:tabs>
          </w:pPr>
          <w:r>
            <w:rPr>
              <w:bCs/>
            </w:rPr>
            <w:fldChar w:fldCharType="begin"/>
          </w:r>
          <w:r>
            <w:rPr>
              <w:bCs/>
            </w:rPr>
            <w:instrText xml:space="preserve"> HYPERLINK \l _Toc24305 </w:instrText>
          </w:r>
          <w:r>
            <w:rPr>
              <w:bCs/>
            </w:rPr>
            <w:fldChar w:fldCharType="separate"/>
          </w:r>
          <w:r>
            <w:rPr>
              <w:rFonts w:hint="eastAsia" w:ascii="楷体" w:hAnsi="楷体" w:eastAsia="楷体"/>
              <w:szCs w:val="24"/>
              <w:lang w:val="en-US" w:eastAsia="zh-CN"/>
            </w:rPr>
            <w:t>铜</w:t>
          </w:r>
          <w:r>
            <w:rPr>
              <w:rFonts w:hint="eastAsia" w:ascii="楷体" w:hAnsi="楷体" w:eastAsia="楷体"/>
              <w:szCs w:val="24"/>
            </w:rPr>
            <w:t>：震荡偏多</w:t>
          </w:r>
          <w:r>
            <w:rPr>
              <w:bCs/>
            </w:rPr>
            <w:fldChar w:fldCharType="end"/>
          </w:r>
        </w:p>
        <w:p>
          <w:pPr>
            <w:pStyle w:val="74"/>
            <w:tabs>
              <w:tab w:val="right" w:leader="dot" w:pos="8306"/>
            </w:tabs>
          </w:pPr>
          <w:r>
            <w:rPr>
              <w:bCs/>
            </w:rPr>
            <w:fldChar w:fldCharType="begin"/>
          </w:r>
          <w:r>
            <w:rPr>
              <w:bCs/>
            </w:rPr>
            <w:instrText xml:space="preserve"> HYPERLINK \l _Toc8747 </w:instrText>
          </w:r>
          <w:r>
            <w:rPr>
              <w:bCs/>
            </w:rPr>
            <w:fldChar w:fldCharType="separate"/>
          </w:r>
          <w:r>
            <w:rPr>
              <w:rFonts w:hint="eastAsia" w:ascii="楷体" w:hAnsi="楷体" w:eastAsia="楷体"/>
              <w:szCs w:val="24"/>
            </w:rPr>
            <w:t>镍：维持逢高沽空思路，关注印尼RKAB重新审查情况</w:t>
          </w:r>
          <w:r>
            <w:rPr>
              <w:bCs/>
            </w:rPr>
            <w:fldChar w:fldCharType="end"/>
          </w:r>
        </w:p>
        <w:p>
          <w:pPr>
            <w:pStyle w:val="74"/>
            <w:tabs>
              <w:tab w:val="right" w:leader="dot" w:pos="8306"/>
            </w:tabs>
          </w:pPr>
          <w:r>
            <w:rPr>
              <w:bCs/>
            </w:rPr>
            <w:fldChar w:fldCharType="begin"/>
          </w:r>
          <w:r>
            <w:rPr>
              <w:bCs/>
            </w:rPr>
            <w:instrText xml:space="preserve"> HYPERLINK \l _Toc11450 </w:instrText>
          </w:r>
          <w:r>
            <w:rPr>
              <w:bCs/>
            </w:rPr>
            <w:fldChar w:fldCharType="separate"/>
          </w:r>
          <w:r>
            <w:rPr>
              <w:rFonts w:hint="eastAsia" w:ascii="楷体" w:hAnsi="楷体" w:eastAsia="楷体"/>
              <w:szCs w:val="24"/>
            </w:rPr>
            <w:t>锡：偏震荡企稳</w:t>
          </w:r>
          <w:r>
            <w:rPr>
              <w:bCs/>
            </w:rPr>
            <w:fldChar w:fldCharType="end"/>
          </w:r>
        </w:p>
        <w:p>
          <w:pPr>
            <w:pStyle w:val="74"/>
            <w:tabs>
              <w:tab w:val="right" w:leader="dot" w:pos="8306"/>
            </w:tabs>
          </w:pPr>
          <w:r>
            <w:rPr>
              <w:bCs/>
            </w:rPr>
            <w:fldChar w:fldCharType="begin"/>
          </w:r>
          <w:r>
            <w:rPr>
              <w:bCs/>
            </w:rPr>
            <w:instrText xml:space="preserve"> HYPERLINK \l _Toc30157 </w:instrText>
          </w:r>
          <w:r>
            <w:rPr>
              <w:bCs/>
            </w:rPr>
            <w:fldChar w:fldCharType="separate"/>
          </w:r>
          <w:r>
            <w:rPr>
              <w:rFonts w:hint="eastAsia" w:ascii="楷体" w:hAnsi="楷体" w:eastAsia="楷体"/>
              <w:szCs w:val="24"/>
            </w:rPr>
            <w:t>铅：再生铅复产预期，压制铅价上方空间</w:t>
          </w:r>
          <w:r>
            <w:rPr>
              <w:bCs/>
            </w:rPr>
            <w:fldChar w:fldCharType="end"/>
          </w:r>
        </w:p>
        <w:p>
          <w:pPr>
            <w:pStyle w:val="74"/>
            <w:tabs>
              <w:tab w:val="right" w:leader="dot" w:pos="8306"/>
            </w:tabs>
          </w:pPr>
          <w:r>
            <w:rPr>
              <w:bCs/>
            </w:rPr>
            <w:fldChar w:fldCharType="begin"/>
          </w:r>
          <w:r>
            <w:rPr>
              <w:bCs/>
            </w:rPr>
            <w:instrText xml:space="preserve"> HYPERLINK \l _Toc28675 </w:instrText>
          </w:r>
          <w:r>
            <w:rPr>
              <w:bCs/>
            </w:rPr>
            <w:fldChar w:fldCharType="separate"/>
          </w:r>
          <w:r>
            <w:rPr>
              <w:rFonts w:hint="eastAsia" w:ascii="楷体" w:hAnsi="楷体" w:eastAsia="楷体"/>
              <w:szCs w:val="24"/>
            </w:rPr>
            <w:t>不锈钢：低位震荡，关注减产情况</w:t>
          </w:r>
          <w:r>
            <w:rPr>
              <w:bCs/>
            </w:rPr>
            <w:fldChar w:fldCharType="end"/>
          </w:r>
        </w:p>
        <w:p>
          <w:pPr>
            <w:pStyle w:val="74"/>
            <w:tabs>
              <w:tab w:val="right" w:leader="dot" w:pos="8306"/>
            </w:tabs>
          </w:pPr>
          <w:r>
            <w:rPr>
              <w:bCs/>
            </w:rPr>
            <w:fldChar w:fldCharType="begin"/>
          </w:r>
          <w:r>
            <w:rPr>
              <w:bCs/>
            </w:rPr>
            <w:instrText xml:space="preserve"> HYPERLINK \l _Toc4611 </w:instrText>
          </w:r>
          <w:r>
            <w:rPr>
              <w:bCs/>
            </w:rPr>
            <w:fldChar w:fldCharType="separate"/>
          </w:r>
          <w:r>
            <w:rPr>
              <w:rFonts w:hint="eastAsia" w:ascii="楷体" w:hAnsi="楷体" w:eastAsia="楷体"/>
              <w:szCs w:val="24"/>
            </w:rPr>
            <w:t>工业硅：多晶硅期货有望上市，市场情绪仍有支撑</w:t>
          </w:r>
          <w:r>
            <w:rPr>
              <w:bCs/>
            </w:rPr>
            <w:fldChar w:fldCharType="end"/>
          </w:r>
        </w:p>
        <w:p>
          <w:pPr>
            <w:pStyle w:val="74"/>
            <w:tabs>
              <w:tab w:val="right" w:leader="dot" w:pos="8306"/>
            </w:tabs>
          </w:pPr>
          <w:r>
            <w:rPr>
              <w:bCs/>
            </w:rPr>
            <w:fldChar w:fldCharType="begin"/>
          </w:r>
          <w:r>
            <w:rPr>
              <w:bCs/>
            </w:rPr>
            <w:instrText xml:space="preserve"> HYPERLINK \l _Toc1870 </w:instrText>
          </w:r>
          <w:r>
            <w:rPr>
              <w:bCs/>
            </w:rPr>
            <w:fldChar w:fldCharType="separate"/>
          </w:r>
          <w:r>
            <w:rPr>
              <w:rFonts w:hint="eastAsia" w:ascii="楷体" w:hAnsi="楷体" w:eastAsia="楷体"/>
              <w:szCs w:val="24"/>
            </w:rPr>
            <w:t>螺纹钢：供需压力未改善，维持震荡看待</w:t>
          </w:r>
          <w:r>
            <w:rPr>
              <w:bCs/>
            </w:rPr>
            <w:fldChar w:fldCharType="end"/>
          </w:r>
        </w:p>
        <w:p>
          <w:pPr>
            <w:pStyle w:val="59"/>
            <w:tabs>
              <w:tab w:val="right" w:leader="dot" w:pos="8306"/>
            </w:tabs>
          </w:pPr>
          <w:r>
            <w:rPr>
              <w:bCs/>
            </w:rPr>
            <w:fldChar w:fldCharType="begin"/>
          </w:r>
          <w:r>
            <w:rPr>
              <w:bCs/>
            </w:rPr>
            <w:instrText xml:space="preserve"> HYPERLINK \l _Toc11772 </w:instrText>
          </w:r>
          <w:r>
            <w:rPr>
              <w:bCs/>
            </w:rPr>
            <w:fldChar w:fldCharType="separate"/>
          </w:r>
          <w:r>
            <w:rPr>
              <w:rFonts w:hint="eastAsia" w:ascii="Times New Roman" w:hAnsi="Times New Roman" w:eastAsia="楷体"/>
              <w:szCs w:val="30"/>
            </w:rPr>
            <w:t>[化工]</w:t>
          </w:r>
          <w:r>
            <w:rPr>
              <w:bCs/>
            </w:rPr>
            <w:fldChar w:fldCharType="end"/>
          </w:r>
        </w:p>
        <w:p>
          <w:pPr>
            <w:pStyle w:val="74"/>
            <w:tabs>
              <w:tab w:val="right" w:leader="dot" w:pos="8306"/>
            </w:tabs>
          </w:pPr>
          <w:r>
            <w:rPr>
              <w:bCs/>
            </w:rPr>
            <w:fldChar w:fldCharType="begin"/>
          </w:r>
          <w:r>
            <w:rPr>
              <w:bCs/>
            </w:rPr>
            <w:instrText xml:space="preserve"> HYPERLINK \l _Toc7415 </w:instrText>
          </w:r>
          <w:r>
            <w:rPr>
              <w:bCs/>
            </w:rPr>
            <w:fldChar w:fldCharType="separate"/>
          </w:r>
          <w:r>
            <w:rPr>
              <w:rFonts w:hint="eastAsia" w:ascii="Times New Roman" w:hAnsi="Times New Roman" w:eastAsia="楷体"/>
              <w:szCs w:val="24"/>
            </w:rPr>
            <w:t>天然橡胶:</w:t>
          </w:r>
          <w:r>
            <w:rPr>
              <w:rFonts w:hint="eastAsia" w:ascii="Times New Roman" w:hAnsi="Times New Roman" w:eastAsia="楷体"/>
              <w:szCs w:val="24"/>
              <w:lang w:val="en-US" w:eastAsia="zh-CN"/>
            </w:rPr>
            <w:t xml:space="preserve"> 原料回暖 天胶偏强运行为主</w:t>
          </w:r>
          <w:r>
            <w:rPr>
              <w:bCs/>
            </w:rPr>
            <w:fldChar w:fldCharType="end"/>
          </w:r>
        </w:p>
        <w:p>
          <w:pPr>
            <w:pStyle w:val="74"/>
            <w:tabs>
              <w:tab w:val="right" w:leader="dot" w:pos="8306"/>
            </w:tabs>
          </w:pPr>
          <w:r>
            <w:rPr>
              <w:bCs/>
            </w:rPr>
            <w:fldChar w:fldCharType="begin"/>
          </w:r>
          <w:r>
            <w:rPr>
              <w:bCs/>
            </w:rPr>
            <w:instrText xml:space="preserve"> HYPERLINK \l _Toc738 </w:instrText>
          </w:r>
          <w:r>
            <w:rPr>
              <w:bCs/>
            </w:rPr>
            <w:fldChar w:fldCharType="separate"/>
          </w:r>
          <w:r>
            <w:rPr>
              <w:rFonts w:hint="eastAsia" w:ascii="Times New Roman" w:hAnsi="Times New Roman" w:eastAsia="楷体"/>
              <w:szCs w:val="24"/>
            </w:rPr>
            <w:t>聚烯烃：供需矛盾不明显 维持区间震荡表现为主</w:t>
          </w:r>
          <w:r>
            <w:rPr>
              <w:bCs/>
            </w:rPr>
            <w:fldChar w:fldCharType="end"/>
          </w:r>
        </w:p>
        <w:p>
          <w:pPr>
            <w:pStyle w:val="74"/>
            <w:tabs>
              <w:tab w:val="right" w:leader="dot" w:pos="8306"/>
            </w:tabs>
          </w:pPr>
          <w:r>
            <w:rPr>
              <w:bCs/>
            </w:rPr>
            <w:fldChar w:fldCharType="begin"/>
          </w:r>
          <w:r>
            <w:rPr>
              <w:bCs/>
            </w:rPr>
            <w:instrText xml:space="preserve"> HYPERLINK \l _Toc25787 </w:instrText>
          </w:r>
          <w:r>
            <w:rPr>
              <w:bCs/>
            </w:rPr>
            <w:fldChar w:fldCharType="separate"/>
          </w:r>
          <w:r>
            <w:rPr>
              <w:rFonts w:hint="eastAsia" w:ascii="Times New Roman" w:hAnsi="Times New Roman" w:eastAsia="楷体"/>
              <w:szCs w:val="24"/>
            </w:rPr>
            <w:t>PTA：供需转弱预期 跟随成本端下行</w:t>
          </w:r>
          <w:r>
            <w:rPr>
              <w:bCs/>
            </w:rPr>
            <w:fldChar w:fldCharType="end"/>
          </w:r>
        </w:p>
        <w:p>
          <w:pPr>
            <w:pStyle w:val="74"/>
            <w:tabs>
              <w:tab w:val="right" w:leader="dot" w:pos="8306"/>
            </w:tabs>
          </w:pPr>
          <w:r>
            <w:rPr>
              <w:bCs/>
            </w:rPr>
            <w:fldChar w:fldCharType="begin"/>
          </w:r>
          <w:r>
            <w:rPr>
              <w:bCs/>
            </w:rPr>
            <w:instrText xml:space="preserve"> HYPERLINK \l _Toc16344 </w:instrText>
          </w:r>
          <w:r>
            <w:rPr>
              <w:bCs/>
            </w:rPr>
            <w:fldChar w:fldCharType="separate"/>
          </w:r>
          <w:r>
            <w:rPr>
              <w:rFonts w:hint="eastAsia" w:ascii="Times New Roman" w:hAnsi="Times New Roman" w:eastAsia="楷体"/>
              <w:szCs w:val="24"/>
            </w:rPr>
            <w:t>乙二醇：库存去化及进口到港减少预期 二醇走势偏强</w:t>
          </w:r>
          <w:r>
            <w:rPr>
              <w:bCs/>
            </w:rPr>
            <w:fldChar w:fldCharType="end"/>
          </w:r>
        </w:p>
        <w:p>
          <w:pPr>
            <w:pStyle w:val="59"/>
            <w:tabs>
              <w:tab w:val="right" w:leader="dot" w:pos="8306"/>
            </w:tabs>
          </w:pPr>
          <w:r>
            <w:rPr>
              <w:bCs/>
            </w:rPr>
            <w:fldChar w:fldCharType="begin"/>
          </w:r>
          <w:r>
            <w:rPr>
              <w:bCs/>
            </w:rPr>
            <w:instrText xml:space="preserve"> HYPERLINK \l _Toc14905 </w:instrText>
          </w:r>
          <w:r>
            <w:rPr>
              <w:bCs/>
            </w:rPr>
            <w:fldChar w:fldCharType="separate"/>
          </w:r>
          <w:r>
            <w:rPr>
              <w:rFonts w:hint="eastAsia" w:ascii="Times New Roman" w:hAnsi="Times New Roman" w:eastAsia="楷体"/>
              <w:szCs w:val="30"/>
            </w:rPr>
            <w:t>[农产品]</w:t>
          </w:r>
          <w:r>
            <w:rPr>
              <w:bCs/>
            </w:rPr>
            <w:fldChar w:fldCharType="end"/>
          </w:r>
        </w:p>
        <w:p>
          <w:pPr>
            <w:pStyle w:val="74"/>
            <w:tabs>
              <w:tab w:val="right" w:leader="dot" w:pos="8306"/>
            </w:tabs>
          </w:pPr>
          <w:r>
            <w:rPr>
              <w:bCs/>
            </w:rPr>
            <w:fldChar w:fldCharType="begin"/>
          </w:r>
          <w:r>
            <w:rPr>
              <w:bCs/>
            </w:rPr>
            <w:instrText xml:space="preserve"> HYPERLINK \l _Toc16090 </w:instrText>
          </w:r>
          <w:r>
            <w:rPr>
              <w:bCs/>
            </w:rPr>
            <w:fldChar w:fldCharType="separate"/>
          </w:r>
          <w:r>
            <w:rPr>
              <w:rFonts w:hint="eastAsia" w:ascii="楷体" w:hAnsi="楷体" w:eastAsia="楷体"/>
              <w:bCs/>
            </w:rPr>
            <w:t>玉米与淀粉：</w:t>
          </w:r>
          <w:r>
            <w:rPr>
              <w:rFonts w:hint="eastAsia" w:ascii="楷体" w:hAnsi="楷体" w:eastAsia="楷体"/>
            </w:rPr>
            <w:t>现货带动期价继续下跌</w:t>
          </w:r>
          <w:r>
            <w:rPr>
              <w:bCs/>
            </w:rPr>
            <w:fldChar w:fldCharType="end"/>
          </w:r>
        </w:p>
        <w:p>
          <w:pPr>
            <w:pStyle w:val="74"/>
            <w:tabs>
              <w:tab w:val="right" w:leader="dot" w:pos="8306"/>
            </w:tabs>
          </w:pPr>
          <w:r>
            <w:rPr>
              <w:bCs/>
            </w:rPr>
            <w:fldChar w:fldCharType="begin"/>
          </w:r>
          <w:r>
            <w:rPr>
              <w:bCs/>
            </w:rPr>
            <w:instrText xml:space="preserve"> HYPERLINK \l _Toc20695 </w:instrText>
          </w:r>
          <w:r>
            <w:rPr>
              <w:bCs/>
            </w:rPr>
            <w:fldChar w:fldCharType="separate"/>
          </w:r>
          <w:r>
            <w:rPr>
              <w:rFonts w:hint="eastAsia" w:ascii="楷体" w:hAnsi="楷体" w:eastAsia="楷体"/>
              <w:bCs/>
            </w:rPr>
            <w:t>畜禽养殖：生猪现货带动期价下跌</w:t>
          </w:r>
          <w:r>
            <w:rPr>
              <w:bCs/>
            </w:rPr>
            <w:fldChar w:fldCharType="end"/>
          </w:r>
        </w:p>
        <w:p>
          <w:pPr>
            <w:pStyle w:val="74"/>
            <w:tabs>
              <w:tab w:val="right" w:leader="dot" w:pos="8306"/>
            </w:tabs>
          </w:pPr>
          <w:r>
            <w:rPr>
              <w:bCs/>
            </w:rPr>
            <w:fldChar w:fldCharType="begin"/>
          </w:r>
          <w:r>
            <w:rPr>
              <w:bCs/>
            </w:rPr>
            <w:instrText xml:space="preserve"> HYPERLINK \l _Toc2479 </w:instrText>
          </w:r>
          <w:r>
            <w:rPr>
              <w:bCs/>
            </w:rPr>
            <w:fldChar w:fldCharType="separate"/>
          </w:r>
          <w:r>
            <w:rPr>
              <w:rFonts w:hint="eastAsia" w:ascii="楷体" w:hAnsi="楷体" w:eastAsia="楷体"/>
              <w:bCs/>
            </w:rPr>
            <w:t>白糖：丰产预期压制，白糖上行不易</w:t>
          </w:r>
          <w:r>
            <w:rPr>
              <w:bCs/>
            </w:rPr>
            <w:fldChar w:fldCharType="end"/>
          </w:r>
        </w:p>
        <w:p>
          <w:pPr>
            <w:pStyle w:val="74"/>
            <w:tabs>
              <w:tab w:val="right" w:leader="dot" w:pos="8306"/>
            </w:tabs>
          </w:pPr>
          <w:r>
            <w:rPr>
              <w:bCs/>
            </w:rPr>
            <w:fldChar w:fldCharType="begin"/>
          </w:r>
          <w:r>
            <w:rPr>
              <w:bCs/>
            </w:rPr>
            <w:instrText xml:space="preserve"> HYPERLINK \l _Toc26480 </w:instrText>
          </w:r>
          <w:r>
            <w:rPr>
              <w:bCs/>
            </w:rPr>
            <w:fldChar w:fldCharType="separate"/>
          </w:r>
          <w:r>
            <w:rPr>
              <w:rFonts w:hint="eastAsia" w:ascii="楷体" w:hAnsi="楷体" w:eastAsia="楷体"/>
              <w:bCs/>
            </w:rPr>
            <w:t>棉花：</w:t>
          </w:r>
          <w:r>
            <w:rPr>
              <w:rFonts w:hint="eastAsia" w:ascii="楷体" w:hAnsi="楷体" w:eastAsia="楷体"/>
              <w:bCs/>
              <w:lang w:val="en-US" w:eastAsia="zh-CN"/>
            </w:rPr>
            <w:t>外盘止涨，郑棉回落</w:t>
          </w:r>
          <w:r>
            <w:rPr>
              <w:bCs/>
            </w:rPr>
            <w:fldChar w:fldCharType="end"/>
          </w:r>
        </w:p>
        <w:p>
          <w:pPr>
            <w:pStyle w:val="74"/>
            <w:tabs>
              <w:tab w:val="right" w:leader="dot" w:pos="8306"/>
            </w:tabs>
          </w:pPr>
          <w:r>
            <w:rPr>
              <w:bCs/>
            </w:rPr>
            <w:fldChar w:fldCharType="begin"/>
          </w:r>
          <w:r>
            <w:rPr>
              <w:bCs/>
            </w:rPr>
            <w:instrText xml:space="preserve"> HYPERLINK \l _Toc30534 </w:instrText>
          </w:r>
          <w:r>
            <w:rPr>
              <w:bCs/>
            </w:rPr>
            <w:fldChar w:fldCharType="separate"/>
          </w:r>
          <w:r>
            <w:rPr>
              <w:rFonts w:hint="eastAsia" w:ascii="楷体" w:hAnsi="楷体" w:eastAsia="楷体"/>
              <w:bCs/>
            </w:rPr>
            <w:t>蛋白粕：粕类库存同环比均增，偏弱运行</w:t>
          </w:r>
          <w:r>
            <w:rPr>
              <w:bCs/>
            </w:rPr>
            <w:fldChar w:fldCharType="end"/>
          </w:r>
        </w:p>
        <w:p>
          <w:pPr>
            <w:pStyle w:val="74"/>
            <w:tabs>
              <w:tab w:val="right" w:leader="dot" w:pos="8306"/>
            </w:tabs>
          </w:pPr>
          <w:r>
            <w:rPr>
              <w:bCs/>
            </w:rPr>
            <w:fldChar w:fldCharType="begin"/>
          </w:r>
          <w:r>
            <w:rPr>
              <w:bCs/>
            </w:rPr>
            <w:instrText xml:space="preserve"> HYPERLINK \l _Toc18089 </w:instrText>
          </w:r>
          <w:r>
            <w:rPr>
              <w:bCs/>
            </w:rPr>
            <w:fldChar w:fldCharType="separate"/>
          </w:r>
          <w:r>
            <w:rPr>
              <w:rFonts w:hint="eastAsia" w:ascii="楷体" w:hAnsi="楷体" w:eastAsia="楷体"/>
              <w:bCs/>
            </w:rPr>
            <w:t>油脂类：油脂走势分化，棕榈油供应压力最轻</w:t>
          </w:r>
          <w:r>
            <w:rPr>
              <w:bCs/>
            </w:rPr>
            <w:fldChar w:fldCharType="end"/>
          </w:r>
        </w:p>
        <w:p>
          <w:pPr>
            <w:pStyle w:val="59"/>
            <w:tabs>
              <w:tab w:val="right" w:leader="dot" w:pos="8306"/>
            </w:tabs>
          </w:pPr>
          <w:r>
            <w:rPr>
              <w:bCs/>
            </w:rPr>
            <w:fldChar w:fldCharType="begin"/>
          </w:r>
          <w:r>
            <w:rPr>
              <w:bCs/>
            </w:rPr>
            <w:instrText xml:space="preserve"> HYPERLINK \l _Toc11581 </w:instrText>
          </w:r>
          <w:r>
            <w:rPr>
              <w:bCs/>
            </w:rPr>
            <w:fldChar w:fldCharType="separate"/>
          </w:r>
          <w:r>
            <w:rPr>
              <w:rFonts w:hint="eastAsia" w:ascii="Times New Roman" w:hAnsi="Times New Roman" w:eastAsia="楷体"/>
              <w:szCs w:val="30"/>
            </w:rPr>
            <w:t>[指数]</w:t>
          </w:r>
          <w:r>
            <w:rPr>
              <w:bCs/>
            </w:rPr>
            <w:fldChar w:fldCharType="end"/>
          </w:r>
        </w:p>
        <w:p>
          <w:pPr>
            <w:pStyle w:val="74"/>
            <w:tabs>
              <w:tab w:val="right" w:leader="dot" w:pos="8306"/>
            </w:tabs>
          </w:pPr>
          <w:r>
            <w:rPr>
              <w:bCs/>
            </w:rPr>
            <w:fldChar w:fldCharType="begin"/>
          </w:r>
          <w:r>
            <w:rPr>
              <w:bCs/>
            </w:rPr>
            <w:instrText xml:space="preserve"> HYPERLINK \l _Toc18165 </w:instrText>
          </w:r>
          <w:r>
            <w:rPr>
              <w:bCs/>
            </w:rPr>
            <w:fldChar w:fldCharType="separate"/>
          </w:r>
          <w:r>
            <w:rPr>
              <w:rFonts w:hint="eastAsia" w:ascii="Times New Roman" w:hAnsi="Times New Roman" w:eastAsia="楷体"/>
              <w:szCs w:val="24"/>
            </w:rPr>
            <w:t>集运指数（欧线）：运价指数上行提振市场情绪，期价超跌反弹</w:t>
          </w:r>
          <w:r>
            <w:rPr>
              <w:bCs/>
            </w:rPr>
            <w:fldChar w:fldCharType="end"/>
          </w:r>
        </w:p>
        <w:p>
          <w:pPr>
            <w:pStyle w:val="59"/>
            <w:tabs>
              <w:tab w:val="right" w:leader="dot" w:pos="8296"/>
            </w:tabs>
            <w:rPr>
              <w:rFonts w:eastAsiaTheme="minorEastAsia"/>
              <w:szCs w:val="22"/>
            </w:rPr>
          </w:pPr>
          <w:r>
            <w:rPr>
              <w:bCs/>
            </w:rPr>
            <w:fldChar w:fldCharType="end"/>
          </w:r>
        </w:p>
      </w:sdtContent>
    </w:sdt>
    <w:p>
      <w:pPr>
        <w:jc w:val="center"/>
        <w:rPr>
          <w:rFonts w:ascii="Times New Roman" w:hAnsi="Times New Roman" w:eastAsia="楷体" w:cs="Times New Roman"/>
          <w:color w:val="823C0B"/>
        </w:rPr>
        <w:sectPr>
          <w:headerReference r:id="rId4" w:type="first"/>
          <w:headerReference r:id="rId3" w:type="default"/>
          <w:footerReference r:id="rId5" w:type="default"/>
          <w:pgSz w:w="11906" w:h="16838"/>
          <w:pgMar w:top="1440" w:right="1800" w:bottom="1440" w:left="1800" w:header="850" w:footer="1077" w:gutter="0"/>
          <w:cols w:space="425" w:num="1"/>
          <w:titlePg/>
          <w:docGrid w:type="lines" w:linePitch="312" w:charSpace="0"/>
        </w:sectPr>
      </w:pPr>
      <w:r>
        <w:rPr>
          <w:rFonts w:hint="eastAsia" w:ascii="Times New Roman" w:hAnsi="Times New Roman" w:eastAsia="楷体" w:cs="Times New Roman"/>
          <w:color w:val="823C0B"/>
        </w:rPr>
        <w:t>本文观点、结论和建议等仅供参考，并不构成操作依据！请阅读文末免责声明。</w:t>
      </w:r>
    </w:p>
    <w:p>
      <w:pPr>
        <w:rPr>
          <w:rFonts w:ascii="Times New Roman" w:hAnsi="Times New Roman" w:eastAsia="楷体" w:cs="Times New Roman"/>
          <w:b/>
          <w:color w:val="823C0B"/>
          <w:sz w:val="24"/>
        </w:rPr>
      </w:pPr>
    </w:p>
    <w:p>
      <w:pPr>
        <w:jc w:val="center"/>
        <w:rPr>
          <w:rFonts w:ascii="Times New Roman" w:hAnsi="Times New Roman" w:eastAsia="楷体"/>
          <w:b/>
          <w:color w:val="823C0B"/>
          <w:sz w:val="30"/>
          <w:szCs w:val="30"/>
        </w:rPr>
      </w:pPr>
      <w:r>
        <w:rPr>
          <w:rFonts w:hint="eastAsia" w:ascii="Times New Roman" w:hAnsi="Times New Roman" w:eastAsia="楷体"/>
          <w:b/>
          <w:color w:val="823C0B"/>
          <w:sz w:val="30"/>
          <w:szCs w:val="30"/>
        </w:rPr>
        <w:t>本日早评</w:t>
      </w:r>
    </w:p>
    <w:p>
      <w:pPr>
        <w:pBdr>
          <w:top w:val="single" w:color="auto" w:sz="4" w:space="0"/>
        </w:pBdr>
        <w:outlineLvl w:val="0"/>
        <w:rPr>
          <w:rFonts w:ascii="Times New Roman" w:hAnsi="Times New Roman" w:eastAsia="楷体"/>
          <w:b/>
          <w:color w:val="823C0B"/>
        </w:rPr>
      </w:pPr>
      <w:bookmarkStart w:id="1" w:name="_Toc19317"/>
      <w:bookmarkStart w:id="2" w:name="_Toc18033"/>
      <w:bookmarkStart w:id="3" w:name="_Toc6162"/>
      <w:bookmarkStart w:id="4" w:name="金融"/>
      <w:r>
        <w:rPr>
          <w:rFonts w:hint="eastAsia" w:ascii="Times New Roman" w:hAnsi="Times New Roman" w:eastAsia="楷体"/>
          <w:b/>
          <w:color w:val="823C0B"/>
          <w:sz w:val="30"/>
          <w:szCs w:val="30"/>
        </w:rPr>
        <w:t>[金融]</w:t>
      </w:r>
      <w:bookmarkEnd w:id="1"/>
      <w:bookmarkEnd w:id="2"/>
      <w:bookmarkEnd w:id="3"/>
    </w:p>
    <w:bookmarkEnd w:id="4"/>
    <w:p>
      <w:pPr>
        <w:ind w:left="420" w:leftChars="200"/>
        <w:outlineLvl w:val="1"/>
        <w:rPr>
          <w:rFonts w:hint="eastAsia" w:ascii="Times New Roman" w:hAnsi="Times New Roman" w:eastAsia="楷体"/>
          <w:b/>
          <w:color w:val="000000" w:themeColor="text1"/>
          <w:sz w:val="24"/>
          <w:szCs w:val="24"/>
          <w14:textFill>
            <w14:solidFill>
              <w14:schemeClr w14:val="tx1"/>
            </w14:solidFill>
          </w14:textFill>
        </w:rPr>
      </w:pPr>
      <w:bookmarkStart w:id="5" w:name="_Toc16295"/>
      <w:bookmarkStart w:id="6" w:name="_Toc965"/>
      <w:bookmarkStart w:id="7" w:name="_Toc7811"/>
      <w:r>
        <w:rPr>
          <w:rFonts w:hint="eastAsia" w:ascii="Times New Roman" w:hAnsi="Times New Roman" w:eastAsia="楷体"/>
          <w:b/>
          <w:color w:val="000000" w:themeColor="text1"/>
          <w:sz w:val="24"/>
          <w:szCs w:val="24"/>
          <w14:textFill>
            <w14:solidFill>
              <w14:schemeClr w14:val="tx1"/>
            </w14:solidFill>
          </w14:textFill>
        </w:rPr>
        <w:t>股指：</w:t>
      </w:r>
      <w:bookmarkEnd w:id="5"/>
      <w:bookmarkEnd w:id="6"/>
      <w:r>
        <w:rPr>
          <w:rFonts w:hint="eastAsia" w:ascii="Times New Roman" w:hAnsi="Times New Roman" w:eastAsia="楷体"/>
          <w:b/>
          <w:color w:val="000000" w:themeColor="text1"/>
          <w:sz w:val="24"/>
          <w:szCs w:val="24"/>
          <w14:textFill>
            <w14:solidFill>
              <w14:schemeClr w14:val="tx1"/>
            </w14:solidFill>
          </w14:textFill>
        </w:rPr>
        <w:t>震荡</w:t>
      </w:r>
      <w:bookmarkEnd w:id="7"/>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前期海外不确定性攀升、汇率承压与政策空窗期背景下，市场情绪有所回落，目前出现边际改善。年底中央经济工作会议前或是市场乐观预期容易发酵的窗口，“政策效果验证+政策再发力”的预期会使得市场出现结构性机会，而交易型资金基于顺势而为的角度，也会给市场增加活跃度。但后续市场或逐步向基本面验证回归，也会开始更为客观的评估政策影响，使得行情出现震荡反复。市场或围绕沪指（3100，3400）震荡偏强运行，可在震荡区间做IM波段。</w:t>
      </w:r>
    </w:p>
    <w:p>
      <w:pPr>
        <w:ind w:left="630" w:leftChars="300"/>
        <w:rPr>
          <w:rFonts w:hint="eastAsia"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rPr>
      </w:pPr>
      <w:bookmarkStart w:id="8" w:name="_Toc9726"/>
      <w:r>
        <w:rPr>
          <w:rFonts w:hint="eastAsia" w:ascii="Times New Roman" w:hAnsi="Times New Roman" w:eastAsia="楷体"/>
          <w:b/>
          <w:color w:val="823C0B"/>
          <w:sz w:val="30"/>
          <w:szCs w:val="30"/>
        </w:rPr>
        <w:t>[贵金属]</w:t>
      </w:r>
      <w:bookmarkEnd w:id="8"/>
    </w:p>
    <w:p>
      <w:pPr>
        <w:ind w:left="420" w:leftChars="200"/>
        <w:outlineLvl w:val="1"/>
        <w:rPr>
          <w:rFonts w:hint="eastAsia" w:ascii="Times New Roman" w:hAnsi="Times New Roman" w:eastAsia="楷体"/>
          <w:b/>
          <w:color w:val="000000" w:themeColor="text1"/>
          <w:sz w:val="24"/>
          <w:szCs w:val="24"/>
          <w14:textFill>
            <w14:solidFill>
              <w14:schemeClr w14:val="tx1"/>
            </w14:solidFill>
          </w14:textFill>
        </w:rPr>
      </w:pPr>
      <w:bookmarkStart w:id="9" w:name="_Toc3734"/>
      <w:r>
        <w:rPr>
          <w:rFonts w:hint="eastAsia" w:ascii="Times New Roman" w:hAnsi="Times New Roman" w:eastAsia="楷体"/>
          <w:b/>
          <w:color w:val="000000" w:themeColor="text1"/>
          <w:sz w:val="24"/>
          <w:szCs w:val="24"/>
          <w14:textFill>
            <w14:solidFill>
              <w14:schemeClr w14:val="tx1"/>
            </w14:solidFill>
          </w14:textFill>
        </w:rPr>
        <w:t>贵金属：美元指数上行，银价小幅承压</w:t>
      </w:r>
      <w:bookmarkEnd w:id="9"/>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沪金微涨0.04%至615.56元/克，沪银跌0.27%至7644元/千克。美元指数涨0.59%至106.40。美国11月ISM制造业PMI48.4，高于预期的47.6，10月前值为46.5。美国11月标普全球制造业PMI终值为49.7，预期值和初值为48.8。美联储理事沃勒表示，如果没有意料之外的经济数据表现，倾向于支持FOMC在12月降息；对通胀上升感到不太满意，但不想过度反应。美联储威廉姆斯表示，货币政策仍然保持在紧缩状态；预计美国今年GDP将达到2.5%或更高；预计未来几个月失业率将在4%-4.25%之间；预计未来将会有更多的降息。美联储博斯蒂克表示，尚未决定2025年降息的节奏和幅度。后续关注美国服务业PMI数据表现以及美联储降息路径，贵金属后市或区间震荡。</w:t>
      </w:r>
    </w:p>
    <w:p>
      <w:pPr>
        <w:ind w:left="630" w:leftChars="300"/>
        <w:rPr>
          <w:rFonts w:hint="eastAsia"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sz w:val="30"/>
          <w:szCs w:val="30"/>
        </w:rPr>
      </w:pPr>
      <w:bookmarkStart w:id="10" w:name="金属"/>
      <w:bookmarkStart w:id="11" w:name="_Toc20891"/>
      <w:bookmarkStart w:id="12" w:name="_Toc3096"/>
      <w:bookmarkStart w:id="13" w:name="_Toc10596"/>
      <w:bookmarkStart w:id="14" w:name="农产品"/>
      <w:r>
        <w:rPr>
          <w:rFonts w:hint="eastAsia" w:ascii="Times New Roman" w:hAnsi="Times New Roman" w:eastAsia="楷体"/>
          <w:b/>
          <w:color w:val="823C0B"/>
          <w:sz w:val="30"/>
          <w:szCs w:val="30"/>
        </w:rPr>
        <w:t>[金属]</w:t>
      </w:r>
      <w:bookmarkEnd w:id="10"/>
      <w:bookmarkEnd w:id="11"/>
      <w:bookmarkEnd w:id="12"/>
      <w:bookmarkEnd w:id="13"/>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15" w:name="_Toc9767"/>
      <w:bookmarkStart w:id="16" w:name="_Toc27831"/>
      <w:bookmarkStart w:id="17" w:name="_Toc5371"/>
      <w:r>
        <w:rPr>
          <w:rFonts w:hint="eastAsia" w:ascii="楷体" w:hAnsi="楷体" w:eastAsia="楷体"/>
          <w:b/>
          <w:color w:val="000000" w:themeColor="text1"/>
          <w:sz w:val="24"/>
          <w:szCs w:val="24"/>
          <w14:textFill>
            <w14:solidFill>
              <w14:schemeClr w14:val="tx1"/>
            </w14:solidFill>
          </w14:textFill>
        </w:rPr>
        <w:t>碳酸锂：维持震荡格局，主力期价略微收跌</w:t>
      </w:r>
      <w:bookmarkEnd w:id="15"/>
    </w:p>
    <w:bookmarkEnd w:id="16"/>
    <w:bookmarkEnd w:id="17"/>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01合约收跌0.63%至78300元/吨。碳酸锂周度产量略微反弹至约1.5万吨，碳酸锂周度开工率略微上升至约54%；锂辉石提锂开工率上行至约64%，锂云母提锂开工率反弹至约37%，盐湖提锂开工率微跌至约60%。碳酸锂周度总库存继续小幅回落，上游、下游环节小幅累库，贸易商等中游环节小幅去库。近期终端年底冲量以及以旧换新政策等仍支撑正极材料需求表现。国内制造业PMI回升，下游电池企业12月排产环比或微降不到2%，需求景气度相对略好于此前预期，进入12月后留意可能的增量政策情况，消息面因素扰动下留意波动加剧风险，期价或区间震荡。</w:t>
      </w:r>
    </w:p>
    <w:p>
      <w:pPr>
        <w:ind w:firstLine="480" w:firstLineChars="200"/>
        <w:rPr>
          <w:rFonts w:ascii="楷体" w:hAnsi="楷体" w:eastAsia="楷体"/>
          <w:bCs/>
          <w:sz w:val="24"/>
          <w:szCs w:val="24"/>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18" w:name="_Toc8897"/>
      <w:bookmarkStart w:id="19" w:name="_Toc6247"/>
      <w:bookmarkStart w:id="20" w:name="_Toc10117"/>
      <w:r>
        <w:rPr>
          <w:rFonts w:hint="eastAsia" w:ascii="楷体" w:hAnsi="楷体" w:eastAsia="楷体"/>
          <w:b/>
          <w:color w:val="000000" w:themeColor="text1"/>
          <w:sz w:val="24"/>
          <w:szCs w:val="24"/>
          <w14:textFill>
            <w14:solidFill>
              <w14:schemeClr w14:val="tx1"/>
            </w14:solidFill>
          </w14:textFill>
        </w:rPr>
        <w:t>铝：</w:t>
      </w:r>
      <w:bookmarkEnd w:id="18"/>
      <w:bookmarkEnd w:id="19"/>
      <w:r>
        <w:rPr>
          <w:rFonts w:hint="eastAsia" w:ascii="楷体" w:hAnsi="楷体" w:eastAsia="楷体"/>
          <w:b/>
          <w:color w:val="000000" w:themeColor="text1"/>
          <w:sz w:val="24"/>
          <w:szCs w:val="24"/>
          <w14:textFill>
            <w14:solidFill>
              <w14:schemeClr w14:val="tx1"/>
            </w14:solidFill>
          </w14:textFill>
        </w:rPr>
        <w:t>氧化铝基本面支撑偏强，沪铝窄幅震荡下方空间有限</w:t>
      </w:r>
      <w:bookmarkEnd w:id="20"/>
      <w:r>
        <w:rPr>
          <w:rFonts w:hint="eastAsia" w:ascii="楷体" w:hAnsi="楷体" w:eastAsia="楷体"/>
          <w:b/>
          <w:color w:val="000000" w:themeColor="text1"/>
          <w:sz w:val="24"/>
          <w:szCs w:val="24"/>
          <w14:textFill>
            <w14:solidFill>
              <w14:schemeClr w14:val="tx1"/>
            </w14:solidFill>
          </w14:textFill>
        </w:rPr>
        <w:t xml:space="preserve">   </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特朗普宣布对华商品加征关税，叠加前期我国取消出口关税优惠，外需市场消费预期走弱，但国内政策仍在内需市场发力释放利好，11月我国PMI数据表现超出预期。</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几内亚铝土矿发运量保持高位，氧化铝厂内原料库存走升，氧化铝现货报价上涨但涨势明显放缓，氧化铝港口库存出现累库或用于出口，国内库存持续去库但去库速率同比放缓，下游电解铝冶炼部分减停但整体保持稳定。核心成本提供铝价支撑，约计30%电解铝冶炼厂家生产亏损，后续部分产能或技改检修，部分复产产能延后开产，下游需求上看，传统线缆消费及新能源消费仍提供支撑，交易所库存去库，社会库存去化放缓。氧化铝基本面年内仍保持供应紧张、需求刚性格局，现货高升水基差大概率发生收敛，短期氧化铝期价仍有收涨可能，电解铝冶炼核心成本抬升情况下，出于利润修复角度，铝价下方空间有限，低多性价比较高。</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1" w:name="_Toc24297"/>
      <w:r>
        <w:rPr>
          <w:rFonts w:hint="eastAsia" w:ascii="楷体" w:hAnsi="楷体" w:eastAsia="楷体"/>
          <w:b/>
          <w:color w:val="000000" w:themeColor="text1"/>
          <w:sz w:val="24"/>
          <w:szCs w:val="24"/>
          <w14:textFill>
            <w14:solidFill>
              <w14:schemeClr w14:val="tx1"/>
            </w14:solidFill>
          </w14:textFill>
        </w:rPr>
        <w:t>锌：锌价高位震荡上行乏力</w:t>
      </w:r>
      <w:bookmarkEnd w:id="21"/>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海外市场关注特朗普政府及美联储降息节奏，美元指数近期偏强势运行，国内政策持续释放消费利好，宏观情绪扰动反复。海外某大型外企提单导致LME注册仓单快速减少引发市场恐慌，实际LME库存高位挤仓条件有限，伦锌拉涨迅速后回落明显。国内来看，矿端增量释放空间有限，进入冬季部分矿山季节性停产，TC加工费低位回升，地区间现货升贴水差异明显，整体来看现货升水幅度敛，表示下游对高价锌接受度较低，目前需求在淡季没有明显改善，但刚需依旧保持韧性。</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锌市供需两弱格局未改，前期涨幅较充分消化供应紧张预期，临近年关下游需求提振空间相对有限，目前高价锌的市场接受度较低，套保操作可以逢高卖出。</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2" w:name="_Toc24305"/>
      <w:r>
        <w:rPr>
          <w:rFonts w:hint="eastAsia" w:ascii="楷体" w:hAnsi="楷体" w:eastAsia="楷体"/>
          <w:b/>
          <w:color w:val="000000" w:themeColor="text1"/>
          <w:sz w:val="24"/>
          <w:szCs w:val="24"/>
          <w:lang w:val="en-US" w:eastAsia="zh-CN"/>
          <w14:textFill>
            <w14:solidFill>
              <w14:schemeClr w14:val="tx1"/>
            </w14:solidFill>
          </w14:textFill>
        </w:rPr>
        <w:t>铜</w:t>
      </w:r>
      <w:r>
        <w:rPr>
          <w:rFonts w:hint="eastAsia" w:ascii="楷体" w:hAnsi="楷体" w:eastAsia="楷体"/>
          <w:b/>
          <w:color w:val="000000" w:themeColor="text1"/>
          <w:sz w:val="24"/>
          <w:szCs w:val="24"/>
          <w14:textFill>
            <w14:solidFill>
              <w14:schemeClr w14:val="tx1"/>
            </w14:solidFill>
          </w14:textFill>
        </w:rPr>
        <w:t>：震荡偏多</w:t>
      </w:r>
      <w:bookmarkEnd w:id="22"/>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(1)宏观：美国11月ISM制造业PMI指数48.4，创今年6月以来的最高水平，高于预期的47.6，10月前值为46.5。美国ISM制造业PMI单月上涨1.9个点，为今年3月以来的最大月度涨幅。</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(2)库存：12月2日，SHFE仓单库存19628吨，减1573吨；LME仓单库存270725吨，减275吨。</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(3)精废价差：12月2日，Mysteel精废价差1133，收窄90。目前价差在合理价差1441之下。</w:t>
      </w:r>
    </w:p>
    <w:p>
      <w:pPr>
        <w:ind w:left="630" w:leftChars="300"/>
        <w:rPr>
          <w:rFonts w:hint="eastAsia" w:ascii="楷体" w:hAnsi="楷体" w:eastAsia="楷体"/>
          <w:color w:val="000000" w:themeColor="text1"/>
          <w:sz w:val="24"/>
          <w:szCs w:val="24"/>
          <w14:textFill>
            <w14:solidFill>
              <w14:schemeClr w14:val="tx1"/>
            </w14:solidFill>
          </w14:textFill>
        </w:rPr>
      </w:pP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综述：宏观面，海外特朗普交易短期难以进一步强化，美元指数或呈高位震荡，整体有色压力有所缓解。国内方面，进入12月，政策小作文主导市场情绪，重点关注经济工作会议中政策态度和思路。基本面，国内库存继续去化，叠加废铜偏紧精废差低位下，精铜对废铜存替代效应，短期价格有望企稳反弹，价格波动参考73500-75500元。操作上，生产企业逢低逐步在原料端锁价。</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3" w:name="_Toc8747"/>
      <w:r>
        <w:rPr>
          <w:rFonts w:hint="eastAsia" w:ascii="楷体" w:hAnsi="楷体" w:eastAsia="楷体"/>
          <w:b/>
          <w:color w:val="000000" w:themeColor="text1"/>
          <w:sz w:val="24"/>
          <w:szCs w:val="24"/>
          <w14:textFill>
            <w14:solidFill>
              <w14:schemeClr w14:val="tx1"/>
            </w14:solidFill>
          </w14:textFill>
        </w:rPr>
        <w:t>镍：维持逢高沽空思路，关注印尼RKAB重新审查情况</w:t>
      </w:r>
      <w:bookmarkEnd w:id="23"/>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宏观方面，美元指数强弱变化影响宏观氛围；12月中旬中央经济工作会议前，政策小作文传闻或带来情绪脉冲。消息方面，据路透社11月29日消息，印尼一名高级矿业官员表示，该国将对已发布的RKAB（镍矿审批配额）重新审查矿商们是否遵守环境规则及其他规定，以努力确保镍矿储量的可持续性，需关注后续进展。镍矿方面，印尼镍矿价格承压下行，印尼镍矿商协会APNI发布的12月不同品味的镍矿内贸基准价格较上月跌2.2-3.4美元/湿吨；菲律宾镍矿处于雨季，镍矿处于封盘暂停报价状态。供需方面，精炼镍企业寻求海外交仓利润，因此国内现货资源略有收紧，镍下游需求整体维持清淡，过剩格局仍是基本面主线，上周海内外库存皆累库。综合而言，镍基本面维持弱势，短期宏观跟随美元指数及国内政策传闻而波动，预计短期镍价区间偏弱震荡，运行区间参考122000-130000，操作上建议区间上沿沽空，关注印尼镍矿RKAB情况。</w:t>
      </w:r>
    </w:p>
    <w:p>
      <w:pPr>
        <w:rPr>
          <w:rFonts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4" w:name="_Toc11450"/>
      <w:r>
        <w:rPr>
          <w:rFonts w:hint="eastAsia" w:ascii="楷体" w:hAnsi="楷体" w:eastAsia="楷体"/>
          <w:b/>
          <w:color w:val="000000" w:themeColor="text1"/>
          <w:sz w:val="24"/>
          <w:szCs w:val="24"/>
          <w14:textFill>
            <w14:solidFill>
              <w14:schemeClr w14:val="tx1"/>
            </w14:solidFill>
          </w14:textFill>
        </w:rPr>
        <w:t>锡：偏震荡企稳</w:t>
      </w:r>
      <w:bookmarkEnd w:id="24"/>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宏观面，海外特朗普交易短期难以进一步强化，美元指数或呈高位震荡，整体有色压力有所缓解。国内方面，进入12月，政策小作文主导市场情绪，重点关注经济工作会议中政策态度和思路。基本面，10月锡矿进口同比-40%，环比+90%，鉴于缅甸佤邦锡矿的进口状况仍存在不确定性，且冶炼厂的原料供应问题日益凸显，仍需密切关注原料市场的最新动态。近期锡价下跌后刺激下游补库需求增加，上周国内锡锭社会库存大幅减少984吨至7846吨，库存压力进一步缓解。预计锡价相对低位下偏震荡企稳，波动参考23.5-24.5万。</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5" w:name="_Toc30157"/>
      <w:r>
        <w:rPr>
          <w:rFonts w:hint="eastAsia" w:ascii="楷体" w:hAnsi="楷体" w:eastAsia="楷体"/>
          <w:b/>
          <w:color w:val="000000" w:themeColor="text1"/>
          <w:sz w:val="24"/>
          <w:szCs w:val="24"/>
          <w14:textFill>
            <w14:solidFill>
              <w14:schemeClr w14:val="tx1"/>
            </w14:solidFill>
          </w14:textFill>
        </w:rPr>
        <w:t>铅：再生铅复产预期，压制铅价上方空间</w:t>
      </w:r>
      <w:bookmarkEnd w:id="25"/>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原料方面，废电瓶回收体量偏少，回收商出货积极，再生铅原料库存处在原料安全水平。原生铅方面，铅价高位对下游采购带来一定抑制，原生铅厂内库存积累，此外，12月多家原生铅冶炼厂年底检修，如中金岭南、湖南金贵、江西金德等，12月减量或超1.2万吨。再生铅方面，安徽、河南、河北等地环保管控已解除，加上冶炼利润也尚可，再生铅冶炼企业复产积极性较高，SMM再生铅上周开工率为48.6%，环比增加14.3%，不过需注意雾霾天气多发可能对再生铅生产带来不确定性。需求方面，汽车及储能所用的铅蓄电池消费持稳，电动铅蓄电池需求则明显减弱。库存方面，截止12月2日全国主要市场铅锭社会库存为5.53万吨，较11月28日增加0.01万吨，较11月25日减少0.7万吨。综合而言，短期现货流通资源有限为铅价提供支撑，但利润可观状态下再生铅复产积极性较高，社会去化节奏放缓，精炼铅供应整体或趋向恢复，压制铅价上方空间。</w:t>
      </w:r>
    </w:p>
    <w:p>
      <w:pPr>
        <w:rPr>
          <w:rFonts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6" w:name="_Toc28675"/>
      <w:r>
        <w:rPr>
          <w:rFonts w:hint="eastAsia" w:ascii="楷体" w:hAnsi="楷体" w:eastAsia="楷体"/>
          <w:b/>
          <w:color w:val="000000" w:themeColor="text1"/>
          <w:sz w:val="24"/>
          <w:szCs w:val="24"/>
          <w14:textFill>
            <w14:solidFill>
              <w14:schemeClr w14:val="tx1"/>
            </w14:solidFill>
          </w14:textFill>
        </w:rPr>
        <w:t>不锈钢：低位震荡，关注减产情况</w:t>
      </w:r>
      <w:bookmarkEnd w:id="26"/>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消息方面，据路透社11月29日消息，印尼一名高级矿业官员表示，该国将对已发布的RKAB（镍矿审批配额）重新审查矿商们是否遵守环境规则及其他规定，以努力确保镍矿储量的可持续性，需关注后续进展。镍矿方面，印尼镍矿价格承压下行，印尼镍矿商协会APNI发布的12月不同品味的镍矿内贸基准价格较上月跌2.2-3.4美元/湿吨。原料方面，负反馈压力下，近期高镍铁采购价（到厂含税）处于960-975元/镍水平；青山集团12月高碳铬铁长协采购价环比下跌700元至7395元/50基吨；青拓钢水304报价跌500报至9100元/吨。据钢联数据，外购高镍铁生产304冷轧不锈钢的现金成本为13137元/吨。供需方面，下游对后市心态仍偏悲观，不过不锈钢低价使下游刚需补库有所释放，近期多家钢厂传言减产，但减产力度相对有限，如华东S钢厂计划12月因电路系统问题计划检修10-15天，本次停产预计影响产量3-4万吨，以304为主；江苏某钢厂12月份计划减产1万吨。社会库存方面，上周不锈钢89仓库口径社会总库存936756吨，周环比减3.49%。综合而言，近期镍铁、高碳铬铁及废不锈钢价格皆大幅下跌，成本支撑坍塌，不过减产传言带来一定供需好转预期，预计期价低位震荡，价格反弹动能需要看到减产量级扩大、原料价格企稳或印尼镍矿消息进一步发酵，主要运行区间参考12800-13500。</w:t>
      </w:r>
    </w:p>
    <w:p>
      <w:pPr>
        <w:rPr>
          <w:rFonts w:ascii="楷体" w:hAnsi="楷体" w:eastAsia="楷体"/>
          <w:bCs/>
          <w:sz w:val="24"/>
          <w:szCs w:val="24"/>
        </w:rPr>
      </w:pPr>
    </w:p>
    <w:p>
      <w:pPr>
        <w:ind w:left="420" w:leftChars="200"/>
        <w:outlineLvl w:val="1"/>
        <w:rPr>
          <w:rFonts w:ascii="楷体" w:hAnsi="楷体" w:eastAsia="楷体"/>
          <w:b/>
          <w:sz w:val="24"/>
          <w:szCs w:val="24"/>
        </w:rPr>
      </w:pPr>
      <w:bookmarkStart w:id="27" w:name="_Toc4611"/>
      <w:r>
        <w:rPr>
          <w:rFonts w:hint="eastAsia" w:ascii="楷体" w:hAnsi="楷体" w:eastAsia="楷体"/>
          <w:b/>
          <w:color w:val="000000" w:themeColor="text1"/>
          <w:sz w:val="24"/>
          <w:szCs w:val="24"/>
          <w14:textFill>
            <w14:solidFill>
              <w14:schemeClr w14:val="tx1"/>
            </w14:solidFill>
          </w14:textFill>
        </w:rPr>
        <w:t>工业硅：</w:t>
      </w:r>
      <w:r>
        <w:rPr>
          <w:rFonts w:hint="eastAsia" w:ascii="楷体" w:hAnsi="楷体" w:eastAsia="楷体"/>
          <w:b/>
          <w:sz w:val="24"/>
          <w:szCs w:val="24"/>
        </w:rPr>
        <w:t>多晶硅期货有望上市，市场情绪仍有支撑</w:t>
      </w:r>
      <w:bookmarkEnd w:id="27"/>
    </w:p>
    <w:p>
      <w:pPr>
        <w:ind w:left="630" w:leftChars="300"/>
        <w:rPr>
          <w:rFonts w:ascii="楷体" w:hAnsi="楷体" w:eastAsia="楷体"/>
          <w:sz w:val="24"/>
          <w:szCs w:val="24"/>
        </w:rPr>
      </w:pPr>
      <w:r>
        <w:rPr>
          <w:rFonts w:hint="eastAsia" w:ascii="楷体" w:hAnsi="楷体" w:eastAsia="楷体"/>
          <w:sz w:val="24"/>
          <w:szCs w:val="24"/>
        </w:rPr>
        <w:t>12月2日，Si2501主力合约呈冲高回落走势，收盘价12305元/吨，较上一收盘价涨跌幅-0.81%。一方面，继石河子启动重污染预警引发市场对于当地工厂减产担忧后，再度传出大厂鄯善工厂即将减产，目前已经逐步落实减产操作，另一方面，广期所发布多晶硅期货征求意见稿，预示多晶硅期货即将上市，对硅产业情绪有一定提振作用，在盘面估值水平不高的情况下，短期盘面或有支撑。策略上，可尝试逢低做多机会。</w:t>
      </w:r>
    </w:p>
    <w:p>
      <w:pPr>
        <w:ind w:firstLine="420" w:firstLineChars="200"/>
        <w:rPr>
          <w:rFonts w:ascii="Times New Roman" w:hAnsi="Times New Roman" w:eastAsia="楷体"/>
          <w:bCs/>
        </w:rPr>
      </w:pPr>
    </w:p>
    <w:p>
      <w:pPr>
        <w:ind w:left="420" w:leftChars="200"/>
        <w:outlineLvl w:val="1"/>
        <w:rPr>
          <w:rFonts w:ascii="楷体" w:hAnsi="楷体" w:eastAsia="楷体"/>
          <w:b/>
          <w:sz w:val="24"/>
          <w:szCs w:val="24"/>
        </w:rPr>
      </w:pPr>
      <w:bookmarkStart w:id="28" w:name="_Toc1870"/>
      <w:r>
        <w:rPr>
          <w:rFonts w:hint="eastAsia" w:ascii="楷体" w:hAnsi="楷体" w:eastAsia="楷体"/>
          <w:b/>
          <w:color w:val="000000" w:themeColor="text1"/>
          <w:sz w:val="24"/>
          <w:szCs w:val="24"/>
          <w14:textFill>
            <w14:solidFill>
              <w14:schemeClr w14:val="tx1"/>
            </w14:solidFill>
          </w14:textFill>
        </w:rPr>
        <w:t>螺纹钢：供需压力未改善，维持震荡看待</w:t>
      </w:r>
      <w:bookmarkEnd w:id="28"/>
    </w:p>
    <w:p>
      <w:pPr>
        <w:ind w:left="630" w:leftChars="300"/>
        <w:rPr>
          <w:rFonts w:ascii="楷体" w:hAnsi="楷体" w:eastAsia="楷体"/>
          <w:sz w:val="24"/>
          <w:szCs w:val="24"/>
        </w:rPr>
      </w:pPr>
      <w:r>
        <w:rPr>
          <w:rFonts w:hint="eastAsia" w:ascii="楷体" w:hAnsi="楷体" w:eastAsia="楷体"/>
          <w:sz w:val="24"/>
          <w:szCs w:val="24"/>
        </w:rPr>
        <w:t>12月2日，RB2501夜盘收至3347元/吨，较上一收盘价涨跌幅＋0.42%。从基本面来看，上周螺纹钢产量延续下降，市场传闻多家钢厂12月份将开启检修，后续供应或将继续下降，随着淡季深入，需求或将维持季节性走弱，现货总库存去化明显放缓，供需压力暂未出现明显改善，盘面反弹压力仍存，但政策预期偏积极情况下，后续下跌空间也有限，维持震荡看待。</w:t>
      </w:r>
    </w:p>
    <w:p>
      <w:pPr>
        <w:ind w:firstLine="420" w:firstLineChars="200"/>
        <w:rPr>
          <w:rFonts w:ascii="Times New Roman" w:hAnsi="Times New Roman" w:eastAsia="楷体"/>
          <w:bCs/>
        </w:rPr>
      </w:pPr>
    </w:p>
    <w:p>
      <w:pPr>
        <w:pBdr>
          <w:top w:val="single" w:color="auto" w:sz="4" w:space="0"/>
        </w:pBdr>
        <w:outlineLvl w:val="0"/>
        <w:rPr>
          <w:rFonts w:ascii="Times New Roman" w:hAnsi="Times New Roman" w:eastAsia="楷体"/>
          <w:b/>
          <w:color w:val="823C0B"/>
          <w:sz w:val="30"/>
          <w:szCs w:val="30"/>
        </w:rPr>
      </w:pPr>
      <w:bookmarkStart w:id="29" w:name="化工"/>
      <w:r>
        <w:rPr>
          <w:rFonts w:hint="eastAsia" w:ascii="Times New Roman" w:hAnsi="Times New Roman" w:eastAsia="楷体"/>
          <w:b/>
          <w:color w:val="823C0B"/>
          <w:sz w:val="30"/>
          <w:szCs w:val="30"/>
        </w:rPr>
        <w:t xml:space="preserve"> </w:t>
      </w:r>
      <w:bookmarkStart w:id="30" w:name="_Toc11772"/>
      <w:r>
        <w:rPr>
          <w:rFonts w:hint="eastAsia" w:ascii="Times New Roman" w:hAnsi="Times New Roman" w:eastAsia="楷体"/>
          <w:b/>
          <w:color w:val="823C0B"/>
          <w:sz w:val="30"/>
          <w:szCs w:val="30"/>
        </w:rPr>
        <w:t>[化工]</w:t>
      </w:r>
      <w:bookmarkEnd w:id="29"/>
      <w:bookmarkEnd w:id="30"/>
    </w:p>
    <w:p>
      <w:pPr>
        <w:ind w:firstLine="482" w:firstLineChars="200"/>
        <w:outlineLvl w:val="1"/>
        <w:rPr>
          <w:rFonts w:ascii="楷体" w:hAnsi="楷体" w:eastAsia="楷体"/>
          <w:b/>
          <w:sz w:val="24"/>
          <w:szCs w:val="24"/>
        </w:rPr>
      </w:pPr>
      <w:bookmarkStart w:id="31" w:name="_Toc7415"/>
      <w:r>
        <w:rPr>
          <w:rFonts w:hint="eastAsia" w:ascii="Times New Roman" w:hAnsi="Times New Roman" w:eastAsia="楷体"/>
          <w:b/>
          <w:color w:val="000000" w:themeColor="text1"/>
          <w:sz w:val="24"/>
          <w:szCs w:val="24"/>
          <w14:textFill>
            <w14:solidFill>
              <w14:schemeClr w14:val="tx1"/>
            </w14:solidFill>
          </w14:textFill>
        </w:rPr>
        <w:t>天然橡胶:</w:t>
      </w:r>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原料回暖 天胶偏强运行为主</w:t>
      </w:r>
      <w:bookmarkEnd w:id="31"/>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hint="eastAsia" w:ascii="楷体" w:hAnsi="楷体" w:eastAsia="楷体"/>
          <w:sz w:val="24"/>
          <w:szCs w:val="24"/>
        </w:rPr>
      </w:pPr>
      <w:r>
        <w:rPr>
          <w:rFonts w:hint="eastAsia" w:ascii="楷体" w:hAnsi="楷体" w:eastAsia="楷体"/>
          <w:sz w:val="24"/>
          <w:szCs w:val="24"/>
        </w:rPr>
        <w:t>成本端，从泰国主要产区的最新报价来看，由于近期南部雨水天气阶段性较多，各胶种价格有所回暖，天胶成本支撑尚可。港口库存方面，本周青岛港口持稳。下游需求方面，近期全钢胎部分生产企业安排检修，另外月初部分企业出货节奏放缓；半钢轮胎企业排产稳定，雪地胎排产逐步收尾，四季胎部分规格缺口尚存，企业维持高开工状态。整体看，尽管四季度橡胶在基本面供小于求的支撑下以偏多头思路看待，但仍需持续关注东南亚主产区短期降水问题和供应旺季上量情况。近期基本面变动不大，前期传闻的抛出利空影响相对有限，原料价格回暖，预计短时天然橡胶价格偏强运行当中，同时也需提防天气正常后胶价或出现回落。</w:t>
      </w:r>
    </w:p>
    <w:p>
      <w:pPr>
        <w:ind w:left="630" w:leftChars="300"/>
        <w:rPr>
          <w:rFonts w:hint="eastAsia" w:ascii="楷体" w:hAnsi="楷体" w:eastAsia="楷体"/>
          <w:sz w:val="24"/>
          <w:szCs w:val="24"/>
        </w:rPr>
      </w:pPr>
    </w:p>
    <w:p>
      <w:pPr>
        <w:ind w:firstLine="482" w:firstLineChars="200"/>
        <w:outlineLvl w:val="1"/>
        <w:rPr>
          <w:rFonts w:ascii="楷体" w:hAnsi="楷体" w:eastAsia="楷体"/>
          <w:b/>
          <w:sz w:val="24"/>
          <w:szCs w:val="24"/>
        </w:rPr>
      </w:pPr>
      <w:bookmarkStart w:id="32" w:name="_Toc738"/>
      <w:r>
        <w:rPr>
          <w:rFonts w:hint="eastAsia" w:ascii="Times New Roman" w:hAnsi="Times New Roman" w:eastAsia="楷体"/>
          <w:b/>
          <w:color w:val="000000" w:themeColor="text1"/>
          <w:sz w:val="24"/>
          <w:szCs w:val="24"/>
          <w14:textFill>
            <w14:solidFill>
              <w14:schemeClr w14:val="tx1"/>
            </w14:solidFill>
          </w14:textFill>
        </w:rPr>
        <w:t>聚烯烃：供需矛盾不明显 维持区间震荡表现为主</w:t>
      </w:r>
      <w:bookmarkEnd w:id="32"/>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ascii="楷体" w:hAnsi="楷体" w:eastAsia="楷体"/>
          <w:sz w:val="24"/>
          <w:szCs w:val="24"/>
        </w:rPr>
      </w:pPr>
      <w:r>
        <w:rPr>
          <w:rFonts w:hint="eastAsia" w:ascii="楷体" w:hAnsi="楷体" w:eastAsia="楷体"/>
          <w:sz w:val="24"/>
          <w:szCs w:val="24"/>
        </w:rPr>
        <w:t>市场等待延期举行的欧佩克及其减产同盟国会议，对中国强劲制造业指数的乐观情绪在很大程度上被对美联储在12月会议上不会再次降息的担忧所抵消，欧美原油期货表现平平，聚烯烃成本支撑一般。近期聚烯烃开工波动幅度不大，库存方面，PE本周库存环比出现小幅累库，PP小幅去库。PE下游农膜已过最旺季节，开工有所下滑，PP下游BOPP与塑编开工持稳。当前基本面压力不大，预计聚烯烃维持区间整理。</w:t>
      </w:r>
    </w:p>
    <w:p>
      <w:pPr>
        <w:rPr>
          <w:rFonts w:hint="eastAsia" w:ascii="楷体" w:hAnsi="楷体" w:eastAsia="楷体"/>
          <w:sz w:val="24"/>
          <w:szCs w:val="24"/>
        </w:rPr>
      </w:pPr>
    </w:p>
    <w:p>
      <w:pPr>
        <w:ind w:firstLine="482" w:firstLineChars="200"/>
        <w:outlineLvl w:val="1"/>
        <w:rPr>
          <w:rFonts w:ascii="楷体" w:hAnsi="楷体" w:eastAsia="楷体"/>
          <w:b/>
          <w:sz w:val="24"/>
          <w:szCs w:val="24"/>
        </w:rPr>
      </w:pPr>
      <w:bookmarkStart w:id="33" w:name="_Toc25787"/>
      <w:r>
        <w:rPr>
          <w:rFonts w:hint="eastAsia" w:ascii="Times New Roman" w:hAnsi="Times New Roman" w:eastAsia="楷体"/>
          <w:b/>
          <w:color w:val="000000" w:themeColor="text1"/>
          <w:sz w:val="24"/>
          <w:szCs w:val="24"/>
          <w14:textFill>
            <w14:solidFill>
              <w14:schemeClr w14:val="tx1"/>
            </w14:solidFill>
          </w14:textFill>
        </w:rPr>
        <w:t>PTA：供需转弱预期 跟随成本端下行</w:t>
      </w:r>
      <w:bookmarkEnd w:id="33"/>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ascii="楷体" w:hAnsi="楷体" w:eastAsia="楷体"/>
          <w:sz w:val="24"/>
          <w:szCs w:val="24"/>
        </w:rPr>
      </w:pPr>
      <w:r>
        <w:rPr>
          <w:rFonts w:hint="eastAsia" w:ascii="楷体" w:hAnsi="楷体" w:eastAsia="楷体"/>
          <w:sz w:val="24"/>
          <w:szCs w:val="24"/>
        </w:rPr>
        <w:t>中东方面传出以色列和黎巴嫩就结束冲突达成一致，地缘冲突缓和。据最新消息来看，OPEC+会议结果大概率中性或偏空，油价承压。PX 近期开工率有所下滑，面临年度长约签订及PTA开工高位，短线仍有支撑。本周仪化300万吨PTA装置恢复正常，东营威联250万吨PTA装置重启中，PTA负荷提升至84.8%  （+3.4%）。11月下半月PTA前期检修装置开工恢复。在当前加工费下，PTA后续装置检修计划较少，12月整体供应偏宽松。下游聚酯方面本期一套瓶片装置检修，其他装置负荷微调，截至11.28初步核算国内大陆地区聚酯负荷在92.1%附近，开工高位回落。综合来看，近期PTA大幅增仓下行，终端开工趋弱供增需减，交割库累库现货供应偏宽松，跟随成本端偏弱运行，2501运行区间4700-5000，供参考。</w:t>
      </w:r>
    </w:p>
    <w:p>
      <w:pPr>
        <w:rPr>
          <w:rFonts w:hint="eastAsia" w:ascii="楷体" w:hAnsi="楷体" w:eastAsia="楷体"/>
          <w:color w:val="000000" w:themeColor="text1"/>
          <w:sz w:val="24"/>
          <w:szCs w:val="24"/>
          <w14:textFill>
            <w14:solidFill>
              <w14:schemeClr w14:val="tx1"/>
            </w14:solidFill>
          </w14:textFill>
        </w:rPr>
      </w:pPr>
    </w:p>
    <w:p>
      <w:pPr>
        <w:ind w:firstLine="482" w:firstLineChars="200"/>
        <w:outlineLvl w:val="1"/>
        <w:rPr>
          <w:rFonts w:ascii="楷体" w:hAnsi="楷体" w:eastAsia="楷体"/>
          <w:b/>
          <w:sz w:val="24"/>
          <w:szCs w:val="24"/>
        </w:rPr>
      </w:pPr>
      <w:bookmarkStart w:id="34" w:name="_Toc16344"/>
      <w:r>
        <w:rPr>
          <w:rFonts w:hint="eastAsia" w:ascii="Times New Roman" w:hAnsi="Times New Roman" w:eastAsia="楷体"/>
          <w:b/>
          <w:color w:val="000000" w:themeColor="text1"/>
          <w:sz w:val="24"/>
          <w:szCs w:val="24"/>
          <w14:textFill>
            <w14:solidFill>
              <w14:schemeClr w14:val="tx1"/>
            </w14:solidFill>
          </w14:textFill>
        </w:rPr>
        <w:t>乙二醇：库存去化及进口到港减少预期 二醇走势偏强</w:t>
      </w:r>
      <w:bookmarkEnd w:id="34"/>
      <w:r>
        <w:rPr>
          <w:rFonts w:hint="eastAsia" w:ascii="Times New Roman" w:hAnsi="Times New Roman" w:eastAsia="楷体"/>
          <w:b/>
          <w:color w:val="000000" w:themeColor="text1"/>
          <w:sz w:val="24"/>
          <w:szCs w:val="24"/>
          <w14:textFill>
            <w14:solidFill>
              <w14:schemeClr w14:val="tx1"/>
            </w14:solidFill>
          </w14:textFill>
        </w:rPr>
        <w:t xml:space="preserve">    </w:t>
      </w:r>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sz w:val="24"/>
          <w:szCs w:val="24"/>
        </w:rPr>
        <w:t>供需情况，据CCF港口库存数据表明，12.02华东主港地区MEG港口库存约53.7万吨附近，环比上期（11.18）下降9.1万吨。截至11月28日，中国大陆地区乙二醇整体开工负荷在73.25%（+0.66%），其中草酸催化加氢法（合成气）制乙二醇开工负荷在73.85%（+3.91%）。本周来看，中化学30万吨装置周内已顺利出料，后续负荷继续提升；美锦(30万吨)及华谊(20万吨)重启后负荷稳步提升运行中，本周合成气制MEG负荷升至74%偏上水平。中昆（60万吨）及榆能化（40万吨）预计12月恢复生产。下游聚酯开工情况来看，聚酯端负荷小幅回落，截至11.28初步核算国内大陆地区聚酯负荷在92.1%附近。终端开工情况来看，截止11.28江浙下游加弹、织造、印染负荷分别在89%（-2%）、71%（-2%）、81%（-2%），开工下降明显，坯布环节累库。综合来看，乙二醇显性库存降至低位，外盘供应伊朗货、美国货略有延迟，12月船期靠后到港延期，进口量预期小幅向下修正，乙二醇2501合约累库幅度缩窄供应压力缓解，短线震荡偏强，供参考。</w:t>
      </w:r>
    </w:p>
    <w:p>
      <w:pPr>
        <w:rPr>
          <w:rFonts w:hint="eastAsia" w:ascii="楷体" w:hAnsi="楷体" w:eastAsia="楷体"/>
          <w:color w:val="000000" w:themeColor="text1"/>
          <w:sz w:val="24"/>
          <w:szCs w:val="24"/>
          <w14:textFill>
            <w14:solidFill>
              <w14:schemeClr w14:val="tx1"/>
            </w14:solidFill>
          </w14:textFill>
        </w:rPr>
      </w:pPr>
    </w:p>
    <w:p>
      <w:pPr>
        <w:pBdr>
          <w:top w:val="single" w:color="auto" w:sz="4" w:space="1"/>
        </w:pBdr>
        <w:outlineLvl w:val="0"/>
        <w:rPr>
          <w:rFonts w:ascii="楷体" w:hAnsi="楷体" w:eastAsia="楷体"/>
          <w:bCs/>
          <w:sz w:val="24"/>
          <w:szCs w:val="24"/>
        </w:rPr>
      </w:pPr>
      <w:r>
        <w:rPr>
          <w:rFonts w:hint="eastAsia" w:ascii="Times New Roman" w:hAnsi="Times New Roman" w:eastAsia="楷体"/>
          <w:b/>
          <w:color w:val="823C0B"/>
          <w:sz w:val="30"/>
          <w:szCs w:val="30"/>
        </w:rPr>
        <w:t xml:space="preserve"> </w:t>
      </w:r>
      <w:bookmarkStart w:id="35" w:name="_Toc14905"/>
      <w:r>
        <w:rPr>
          <w:rFonts w:hint="eastAsia" w:ascii="Times New Roman" w:hAnsi="Times New Roman" w:eastAsia="楷体"/>
          <w:b/>
          <w:color w:val="823C0B"/>
          <w:sz w:val="30"/>
          <w:szCs w:val="30"/>
        </w:rPr>
        <w:t>[农产品]</w:t>
      </w:r>
      <w:bookmarkEnd w:id="14"/>
      <w:bookmarkEnd w:id="35"/>
    </w:p>
    <w:p>
      <w:pPr>
        <w:pStyle w:val="93"/>
        <w:spacing w:before="60" w:beforeAutospacing="0" w:after="60" w:afterAutospacing="0"/>
        <w:ind w:left="420" w:leftChars="200"/>
        <w:outlineLvl w:val="1"/>
        <w:rPr>
          <w:rFonts w:hint="eastAsia" w:ascii="楷体" w:hAnsi="楷体" w:eastAsia="楷体"/>
          <w:b/>
        </w:rPr>
      </w:pPr>
      <w:bookmarkStart w:id="36" w:name="_Toc16090"/>
      <w:r>
        <w:rPr>
          <w:rFonts w:hint="eastAsia" w:ascii="楷体" w:hAnsi="楷体" w:eastAsia="楷体"/>
          <w:b/>
          <w:bCs/>
          <w:color w:val="000000" w:themeColor="text1"/>
          <w14:textFill>
            <w14:solidFill>
              <w14:schemeClr w14:val="tx1"/>
            </w14:solidFill>
          </w14:textFill>
        </w:rPr>
        <w:t>玉米与淀粉：</w:t>
      </w:r>
      <w:r>
        <w:rPr>
          <w:rFonts w:hint="eastAsia" w:ascii="楷体" w:hAnsi="楷体" w:eastAsia="楷体"/>
          <w:b/>
        </w:rPr>
        <w:t>现货带动期价继续下跌</w:t>
      </w:r>
      <w:bookmarkEnd w:id="36"/>
    </w:p>
    <w:p>
      <w:pPr>
        <w:pStyle w:val="93"/>
        <w:spacing w:before="60" w:beforeAutospacing="0" w:after="60" w:afterAutospacing="0"/>
        <w:ind w:left="630" w:leftChars="300"/>
        <w:rPr>
          <w:rFonts w:hint="eastAsia" w:ascii="楷体" w:hAnsi="楷体" w:eastAsia="楷体"/>
        </w:rPr>
      </w:pPr>
      <w:r>
        <w:rPr>
          <w:rFonts w:hint="eastAsia" w:ascii="楷体" w:hAnsi="楷体" w:eastAsia="楷体"/>
        </w:rPr>
        <w:t>玉米现货整体弱势，其中华北与东北产区涨跌互现，南北方港口稳中有跌，玉米期价继续增仓下行，各合约出现较大幅度下跌。对于玉米而言，近期持续震荡回落主要源于期价升水，而现货未能给予正向反馈，导致期价回落来修复基差。考虑到西北、华北与东北产区新作上市压力已经逐步释放，分区域来看，后期天气改善有利于保存，及其国家增储动作频频，有望带动东北产区玉米止跌甚至反弹，而东北-华北玉米价差和产销区价差收窄即倒挂之后，供应/渠道库存下滑将抑制现货继续走弱，在基差修复之后，期价下方空间亦有限。综上所述，我们维持谨慎看多观点，但在前期多单止损后建议暂以观望为宜。</w:t>
      </w:r>
    </w:p>
    <w:p>
      <w:pPr>
        <w:pStyle w:val="93"/>
        <w:spacing w:before="60" w:beforeAutospacing="0" w:after="60" w:afterAutospacing="0"/>
        <w:ind w:left="630" w:leftChars="300"/>
        <w:rPr>
          <w:rFonts w:hint="eastAsia" w:ascii="楷体" w:hAnsi="楷体" w:eastAsia="楷体"/>
          <w:lang w:val="en-US" w:eastAsia="zh-CN"/>
        </w:rPr>
      </w:pPr>
      <w:r>
        <w:rPr>
          <w:rFonts w:hint="eastAsia" w:ascii="楷体" w:hAnsi="楷体" w:eastAsia="楷体"/>
        </w:rPr>
        <w:t>淀粉现货稳中偏弱，局部地区报价下调10-40元不等，期价跟随玉米下行，表现相对强于玉米，淀粉-玉米价差小幅走扩。对于淀粉而言，近期淀粉-玉米价差表现分化，近月走扩而远月收窄，或更多源于远月仓位变动所致，在影响淀粉-玉米价差的三方面因素继续偏空的可能性不大，考虑到淀粉基差高企，而盘面生产利润大多亏损，我们倾向于淀粉-玉米价差收窄空间受限。在这种情况下，结合原料玉米判断，我们维持谨慎看多观点，考虑到淀粉部分合约再创新低，不建议单边操作，可考虑持有淀粉-玉米价差走扩套利。</w:t>
      </w:r>
    </w:p>
    <w:p>
      <w:pPr>
        <w:pStyle w:val="93"/>
        <w:spacing w:before="60" w:beforeAutospacing="0" w:after="60" w:afterAutospacing="0"/>
        <w:ind w:left="630" w:leftChars="300"/>
        <w:rPr>
          <w:rFonts w:hint="eastAsia" w:ascii="楷体" w:hAnsi="楷体" w:eastAsia="楷体"/>
          <w:lang w:val="en-US" w:eastAsia="zh-CN"/>
        </w:rPr>
      </w:pPr>
    </w:p>
    <w:p>
      <w:pPr>
        <w:pStyle w:val="93"/>
        <w:spacing w:before="60" w:beforeAutospacing="0" w:after="60" w:afterAutospacing="0"/>
        <w:ind w:left="420" w:leftChars="200"/>
        <w:outlineLvl w:val="1"/>
        <w:rPr>
          <w:rFonts w:hint="eastAsia" w:ascii="楷体" w:hAnsi="楷体" w:eastAsia="楷体"/>
          <w:b/>
          <w:bCs/>
          <w:color w:val="000000" w:themeColor="text1"/>
          <w14:textFill>
            <w14:solidFill>
              <w14:schemeClr w14:val="tx1"/>
            </w14:solidFill>
          </w14:textFill>
        </w:rPr>
      </w:pPr>
      <w:bookmarkStart w:id="37" w:name="_Toc20695"/>
      <w:r>
        <w:rPr>
          <w:rFonts w:hint="eastAsia" w:ascii="楷体" w:hAnsi="楷体" w:eastAsia="楷体"/>
          <w:b/>
          <w:bCs/>
          <w:color w:val="000000" w:themeColor="text1"/>
          <w14:textFill>
            <w14:solidFill>
              <w14:schemeClr w14:val="tx1"/>
            </w14:solidFill>
          </w14:textFill>
        </w:rPr>
        <w:t>畜禽养殖：生猪现货带动期价下跌</w:t>
      </w:r>
      <w:bookmarkEnd w:id="37"/>
    </w:p>
    <w:p>
      <w:pPr>
        <w:pStyle w:val="93"/>
        <w:spacing w:before="0" w:beforeAutospacing="0" w:after="60" w:afterAutospacing="0"/>
        <w:ind w:left="630" w:leftChars="300"/>
        <w:rPr>
          <w:rFonts w:hint="eastAsia" w:ascii="楷体" w:hAnsi="楷体" w:eastAsia="楷体"/>
        </w:rPr>
      </w:pPr>
      <w:r>
        <w:rPr>
          <w:rFonts w:hint="eastAsia" w:ascii="楷体" w:hAnsi="楷体" w:eastAsia="楷体"/>
        </w:rPr>
        <w:t>国内生猪现货周末以来震荡下跌，全国均价下跌0.17元至16.30元/公斤，期价受现货带动多有下跌，远月相对强于近月。对于生猪而言，从期价远期贴水结构可以看出，市场对生猪市场远期供需改善预期较为一致，这可以从若干方面得到印证，包括能繁母猪存栏见底回升，猪料产量环比增加等。随着期价的持续回落，市场分歧转向当前期价是否已经反映现货下跌预期，因目前最低的3月合约已经跌至过去两年春节前后低点14元/公斤下方。从供应角度看，农业农村部公布的季度末生猪存栏量虽连续环比增加，但仍处于过去四年来最低水平，而今年3季度出栏仅次于去年，这意味着4季度供应环比增幅受限，这会抑制猪价下跌空间；而需求则存在较大的不确定性，受宏观经济影响，市场反映今年需求不及往年同期，这会抑制猪价上方空间。虽然国内气温下降，需求有所改善，但由于市场对春节后猪价的悲观预期（体现在2503合约大幅贴水上），加上过去两年春节前下跌的阴影，养殖户倾向于提前出栏以规避节后下跌风险。在这种情况下，短期重点留意需求季节性改善情况，中期机会在于供需预期偏差。综上所述，我们维持中性观点，建议投资者观望为宜。</w:t>
      </w:r>
    </w:p>
    <w:p>
      <w:pPr>
        <w:pStyle w:val="93"/>
        <w:spacing w:before="0" w:beforeAutospacing="0" w:after="60" w:afterAutospacing="0"/>
        <w:ind w:left="630" w:leftChars="300"/>
        <w:rPr>
          <w:rFonts w:hint="eastAsia" w:ascii="楷体" w:hAnsi="楷体" w:eastAsia="楷体"/>
        </w:rPr>
      </w:pPr>
      <w:r>
        <w:rPr>
          <w:rFonts w:hint="eastAsia" w:ascii="楷体" w:hAnsi="楷体" w:eastAsia="楷体"/>
        </w:rPr>
        <w:t>鸡蛋现货周末以来稳中有涨，其中主产区均价上涨0.15元至4.56元/斤，主销区均价上涨0.16元至4.71元/斤；期价先扬后抑，多数合约收涨。对于鸡蛋而言，分析市场可以看出，当前市场纠结之处在于，一方面市场对远期供需宽松预期使得市场担心后期现货下跌，而这已经体现在远月期价深度贴水上，另一方面现货相对抗跌，且基差处于历史高位，这对期价特别是近月带来一定的支撑。考虑到现货已进入季节性淡季，市场关注焦点将转向远月，这里面需要重点关注两个方面，其一是原料成本的变数，虽然当前饲料原料包括豆粕和玉米价格均处于相对低位，对应的养殖利润高企，但在新作压力之后其走势存在较大的不确定性。其二是供需预期的变数，因市场多倾向于认为今年年后以来现货整体表现强于预期，主要源于需求端的影响，而我们则倾向于认为更多源于供应端的因素，这可能源于春节前后补栏积极性下降而淘汰积极性上升，因当时蛋鸡苗价格处于历史低位，而多家机构数据均显示去年底以来蛋鸡淘汰量同比大幅增加。在这种情况下，我们维持谨慎看多观点，但考虑12月合约已进入交割月，而1月合约可能转而反映节后现货价格，建议投资者维持观望为宜。</w:t>
      </w:r>
    </w:p>
    <w:p>
      <w:pPr>
        <w:pStyle w:val="93"/>
        <w:spacing w:before="0" w:beforeAutospacing="0" w:after="60" w:afterAutospacing="0"/>
        <w:ind w:left="630" w:leftChars="300"/>
        <w:rPr>
          <w:rFonts w:hint="eastAsia" w:ascii="楷体" w:hAnsi="楷体" w:eastAsia="楷体"/>
        </w:rPr>
      </w:pPr>
    </w:p>
    <w:p>
      <w:pPr>
        <w:pStyle w:val="93"/>
        <w:spacing w:before="60" w:beforeAutospacing="0" w:after="60" w:afterAutospacing="0"/>
        <w:ind w:left="420" w:leftChars="200"/>
        <w:outlineLvl w:val="1"/>
        <w:rPr>
          <w:rFonts w:hint="eastAsia" w:ascii="楷体" w:hAnsi="楷体" w:eastAsia="楷体"/>
          <w:b/>
          <w:bCs/>
          <w:color w:val="000000" w:themeColor="text1"/>
          <w14:textFill>
            <w14:solidFill>
              <w14:schemeClr w14:val="tx1"/>
            </w14:solidFill>
          </w14:textFill>
        </w:rPr>
      </w:pPr>
      <w:bookmarkStart w:id="38" w:name="_Toc2479"/>
      <w:r>
        <w:rPr>
          <w:rFonts w:hint="eastAsia" w:ascii="楷体" w:hAnsi="楷体" w:eastAsia="楷体"/>
          <w:b/>
          <w:bCs/>
          <w:color w:val="000000" w:themeColor="text1"/>
          <w14:textFill>
            <w14:solidFill>
              <w14:schemeClr w14:val="tx1"/>
            </w14:solidFill>
          </w14:textFill>
        </w:rPr>
        <w:t>白糖：丰产预期压制，白糖上行不易</w:t>
      </w:r>
      <w:bookmarkEnd w:id="38"/>
    </w:p>
    <w:p>
      <w:pPr>
        <w:pStyle w:val="93"/>
        <w:spacing w:before="0" w:beforeAutospacing="0" w:after="60" w:afterAutospacing="0"/>
        <w:ind w:left="630" w:leftChars="300"/>
        <w:rPr>
          <w:rFonts w:hint="eastAsia" w:ascii="楷体" w:hAnsi="楷体" w:eastAsia="楷体"/>
        </w:rPr>
      </w:pPr>
      <w:r>
        <w:rPr>
          <w:rFonts w:hint="eastAsia" w:ascii="楷体" w:hAnsi="楷体" w:eastAsia="楷体"/>
        </w:rPr>
        <w:t>隔日外盘，ICE原糖11号主力上涨0.14%，伦敦白砂糖主力合约上涨0.29%。夜盘郑糖2501主力合约下跌1.19%。印度全国合作糖厂联合会（ NFCSF ） 称，印度2024/25年度（自2024年10月1日开始）甘蔗压榨开局缓慢，10-11月糖产量同比下降35.4％至279万吨，因为两个主要产区糖厂比通常开榨时间延迟。因丰产预期和国际糖价走势压制，虽然白糖已站上6000关口，但上行空间十分有限，预计震荡整理或回落。</w:t>
      </w:r>
    </w:p>
    <w:p>
      <w:pPr>
        <w:pStyle w:val="93"/>
        <w:spacing w:before="0" w:beforeAutospacing="0" w:after="60" w:afterAutospacing="0"/>
        <w:ind w:left="630" w:leftChars="300"/>
        <w:rPr>
          <w:rFonts w:hint="eastAsia" w:ascii="楷体" w:hAnsi="楷体" w:eastAsia="楷体"/>
        </w:rPr>
      </w:pPr>
    </w:p>
    <w:p>
      <w:pPr>
        <w:pStyle w:val="93"/>
        <w:spacing w:before="60" w:beforeAutospacing="0" w:after="60" w:afterAutospacing="0"/>
        <w:ind w:left="420" w:leftChars="200"/>
        <w:outlineLvl w:val="1"/>
        <w:rPr>
          <w:rFonts w:hint="eastAsia" w:ascii="楷体" w:hAnsi="楷体" w:eastAsia="楷体"/>
          <w:b/>
          <w:bCs/>
          <w:color w:val="000000" w:themeColor="text1"/>
          <w:lang w:eastAsia="zh-CN"/>
          <w14:textFill>
            <w14:solidFill>
              <w14:schemeClr w14:val="tx1"/>
            </w14:solidFill>
          </w14:textFill>
        </w:rPr>
      </w:pPr>
      <w:bookmarkStart w:id="39" w:name="_Toc26480"/>
      <w:r>
        <w:rPr>
          <w:rFonts w:hint="eastAsia" w:ascii="楷体" w:hAnsi="楷体" w:eastAsia="楷体"/>
          <w:b/>
          <w:bCs/>
          <w:color w:val="000000" w:themeColor="text1"/>
          <w14:textFill>
            <w14:solidFill>
              <w14:schemeClr w14:val="tx1"/>
            </w14:solidFill>
          </w14:textFill>
        </w:rPr>
        <w:t>棉花：</w:t>
      </w:r>
      <w:r>
        <w:rPr>
          <w:rFonts w:hint="eastAsia" w:ascii="楷体" w:hAnsi="楷体" w:eastAsia="楷体"/>
          <w:b/>
          <w:bCs/>
          <w:color w:val="000000" w:themeColor="text1"/>
          <w:lang w:val="en-US" w:eastAsia="zh-CN"/>
          <w14:textFill>
            <w14:solidFill>
              <w14:schemeClr w14:val="tx1"/>
            </w14:solidFill>
          </w14:textFill>
        </w:rPr>
        <w:t>外盘止涨，郑棉回落</w:t>
      </w:r>
      <w:bookmarkEnd w:id="39"/>
    </w:p>
    <w:p>
      <w:pPr>
        <w:pStyle w:val="93"/>
        <w:spacing w:before="0" w:beforeAutospacing="0" w:after="60" w:afterAutospacing="0"/>
        <w:ind w:left="630" w:leftChars="300"/>
        <w:rPr>
          <w:rFonts w:hint="eastAsia" w:ascii="楷体" w:hAnsi="楷体" w:eastAsia="楷体"/>
        </w:rPr>
      </w:pPr>
      <w:r>
        <w:rPr>
          <w:rFonts w:hint="eastAsia" w:ascii="楷体" w:hAnsi="楷体" w:eastAsia="楷体"/>
        </w:rPr>
        <w:t>隔日外盘，ICE期棉主力03合约下跌0.64%。夜盘郑棉2501主力合约下跌1.07%。据 Mysteel 农产品数据监测，截至11月28日，主流地区纺企开机负荷为67.1%，环比降幅1.90%，降至1年低点。下游进入淡季，织厂和布厂开机率已下滑至年度低点，淡季极淡。但价格已处于历史低位，利空逐步被消化。预计郑棉温和震荡整理。</w:t>
      </w:r>
    </w:p>
    <w:p>
      <w:pPr>
        <w:pStyle w:val="93"/>
        <w:spacing w:before="0" w:beforeAutospacing="0" w:after="60" w:afterAutospacing="0"/>
        <w:rPr>
          <w:rFonts w:hint="eastAsia" w:ascii="楷体" w:hAnsi="楷体" w:eastAsia="楷体"/>
        </w:rPr>
      </w:pPr>
    </w:p>
    <w:p>
      <w:pPr>
        <w:pStyle w:val="93"/>
        <w:spacing w:before="60" w:beforeAutospacing="0" w:after="60" w:afterAutospacing="0"/>
        <w:ind w:left="420" w:leftChars="200"/>
        <w:outlineLvl w:val="1"/>
        <w:rPr>
          <w:rFonts w:hint="eastAsia" w:ascii="楷体" w:hAnsi="楷体" w:eastAsia="楷体"/>
          <w:b/>
          <w:bCs/>
          <w:color w:val="000000" w:themeColor="text1"/>
          <w14:textFill>
            <w14:solidFill>
              <w14:schemeClr w14:val="tx1"/>
            </w14:solidFill>
          </w14:textFill>
        </w:rPr>
      </w:pPr>
      <w:bookmarkStart w:id="40" w:name="_Toc30534"/>
      <w:r>
        <w:rPr>
          <w:rFonts w:hint="eastAsia" w:ascii="楷体" w:hAnsi="楷体" w:eastAsia="楷体"/>
          <w:b/>
          <w:bCs/>
          <w:color w:val="000000" w:themeColor="text1"/>
          <w14:textFill>
            <w14:solidFill>
              <w14:schemeClr w14:val="tx1"/>
            </w14:solidFill>
          </w14:textFill>
        </w:rPr>
        <w:t>蛋白粕：粕类库存同环比均增，偏弱运行</w:t>
      </w:r>
      <w:bookmarkEnd w:id="40"/>
    </w:p>
    <w:p>
      <w:pPr>
        <w:pStyle w:val="93"/>
        <w:spacing w:before="0" w:beforeAutospacing="0" w:after="60" w:afterAutospacing="0"/>
        <w:ind w:left="630" w:leftChars="300"/>
        <w:rPr>
          <w:rFonts w:hint="eastAsia" w:ascii="楷体" w:hAnsi="楷体" w:eastAsia="楷体"/>
        </w:rPr>
      </w:pPr>
      <w:r>
        <w:rPr>
          <w:rFonts w:hint="eastAsia" w:ascii="楷体" w:hAnsi="楷体" w:eastAsia="楷体"/>
        </w:rPr>
        <w:t>昨日外盘美豆下跌0.40%，国内夜盘豆二下跌1.01%，豆粕下跌0.32%；菜籽下跌0.62%，菜粕下跌0.51%。据Mysteel调查数据显示，截止第48周，全国主要油厂大豆库存下降，豆粕库存上升，未执行合同下降。</w:t>
      </w:r>
    </w:p>
    <w:p>
      <w:pPr>
        <w:pStyle w:val="93"/>
        <w:spacing w:before="0" w:beforeAutospacing="0" w:after="60" w:afterAutospacing="0"/>
        <w:ind w:left="630" w:leftChars="300"/>
        <w:rPr>
          <w:rFonts w:hint="eastAsia" w:ascii="楷体" w:hAnsi="楷体" w:eastAsia="楷体"/>
        </w:rPr>
      </w:pPr>
      <w:r>
        <w:rPr>
          <w:rFonts w:hint="eastAsia" w:ascii="楷体" w:hAnsi="楷体" w:eastAsia="楷体"/>
        </w:rPr>
        <w:t>油厂大豆实际压榨量189.03万吨，开机率为54%，较预估低3.41万吨。其中大豆库存497.35万吨，环比减幅2.68%，同比减幅2.16%；豆粕库存83.45万吨，环比增幅8.32%，同比增幅3.16%；豆粕表观消费量为142.92万吨，环比减幅8.85%，同比减幅2.68%。同期沿海地区主要油厂菜籽库存</w:t>
      </w:r>
    </w:p>
    <w:p>
      <w:pPr>
        <w:pStyle w:val="93"/>
        <w:spacing w:before="0" w:beforeAutospacing="0" w:after="60" w:afterAutospacing="0"/>
        <w:ind w:left="630" w:leftChars="300"/>
        <w:rPr>
          <w:rFonts w:hint="eastAsia" w:ascii="楷体" w:hAnsi="楷体" w:eastAsia="楷体"/>
        </w:rPr>
      </w:pPr>
      <w:r>
        <w:rPr>
          <w:rFonts w:hint="eastAsia" w:ascii="楷体" w:hAnsi="楷体" w:eastAsia="楷体"/>
        </w:rPr>
        <w:t>55.8万吨，环比减幅12.26%；菜粕库存8.4万吨，环比增幅16.67%。总的来说，开机率较高使原料有所减少，而粕类数量增加。两粕偏弱运行。</w:t>
      </w:r>
    </w:p>
    <w:p>
      <w:pPr>
        <w:pStyle w:val="93"/>
        <w:spacing w:before="0" w:beforeAutospacing="0" w:after="60" w:afterAutospacing="0"/>
        <w:rPr>
          <w:rFonts w:hint="eastAsia" w:ascii="楷体" w:hAnsi="楷体" w:eastAsia="楷体"/>
        </w:rPr>
      </w:pPr>
    </w:p>
    <w:p>
      <w:pPr>
        <w:pStyle w:val="93"/>
        <w:spacing w:before="60" w:beforeAutospacing="0" w:after="60" w:afterAutospacing="0"/>
        <w:ind w:left="420" w:leftChars="200"/>
        <w:outlineLvl w:val="1"/>
        <w:rPr>
          <w:rFonts w:hint="eastAsia" w:ascii="楷体" w:hAnsi="楷体" w:eastAsia="楷体"/>
          <w:b/>
          <w:bCs/>
          <w:color w:val="000000" w:themeColor="text1"/>
          <w14:textFill>
            <w14:solidFill>
              <w14:schemeClr w14:val="tx1"/>
            </w14:solidFill>
          </w14:textFill>
        </w:rPr>
      </w:pPr>
      <w:bookmarkStart w:id="41" w:name="_Toc18089"/>
      <w:r>
        <w:rPr>
          <w:rFonts w:hint="eastAsia" w:ascii="楷体" w:hAnsi="楷体" w:eastAsia="楷体"/>
          <w:b/>
          <w:bCs/>
          <w:color w:val="000000" w:themeColor="text1"/>
          <w14:textFill>
            <w14:solidFill>
              <w14:schemeClr w14:val="tx1"/>
            </w14:solidFill>
          </w14:textFill>
        </w:rPr>
        <w:t>油脂类：油脂走势分化，棕榈油供应压力最轻</w:t>
      </w:r>
      <w:bookmarkEnd w:id="41"/>
    </w:p>
    <w:p>
      <w:pPr>
        <w:pStyle w:val="93"/>
        <w:spacing w:before="0" w:beforeAutospacing="0" w:after="60" w:afterAutospacing="0"/>
        <w:ind w:left="630" w:leftChars="300"/>
        <w:rPr>
          <w:rFonts w:hint="eastAsia" w:ascii="楷体" w:hAnsi="楷体" w:eastAsia="楷体"/>
        </w:rPr>
      </w:pPr>
      <w:r>
        <w:rPr>
          <w:rFonts w:hint="eastAsia" w:ascii="楷体" w:hAnsi="楷体" w:eastAsia="楷体"/>
        </w:rPr>
        <w:t>昨日夜盘豆油下跌1.35%，菜油上涨0.58%，棕榈油下跌0.12%。据Mysteel调研显示，截至第48周，全国重点地区三大油脂商业库存总量为195.13万吨，环比跌幅1.00%，同比跌幅15.26%。其中豆油、棕榈油环比下跌，菜油环比增加；棕油同比大幅减少49.99%，豆油、菜油同比增加，棕油供应压力最轻。目前棕油矛盾在主产国产量与出口的数据变动。ITS显示马来11月棕油出口环比下降9.3%，SPPOMA显示同期马棕油产量环比下降5.30%，出口表现不佳使期价小幅回落。但长线逻辑不变，仍维持看多观点。</w:t>
      </w:r>
    </w:p>
    <w:p>
      <w:pPr>
        <w:pStyle w:val="93"/>
        <w:spacing w:before="0" w:beforeAutospacing="0" w:after="60" w:afterAutospacing="0"/>
        <w:rPr>
          <w:rFonts w:hint="eastAsia" w:ascii="楷体" w:hAnsi="楷体" w:eastAsia="楷体"/>
        </w:rPr>
      </w:pPr>
    </w:p>
    <w:p>
      <w:pPr>
        <w:pBdr>
          <w:top w:val="single" w:color="auto" w:sz="4" w:space="0"/>
        </w:pBdr>
        <w:outlineLvl w:val="0"/>
        <w:rPr>
          <w:rFonts w:ascii="Times New Roman" w:hAnsi="Times New Roman" w:eastAsia="楷体"/>
          <w:b/>
          <w:color w:val="823C0B"/>
        </w:rPr>
      </w:pPr>
      <w:bookmarkStart w:id="42" w:name="_Toc11581"/>
      <w:r>
        <w:rPr>
          <w:rFonts w:hint="eastAsia" w:ascii="Times New Roman" w:hAnsi="Times New Roman" w:eastAsia="楷体"/>
          <w:b/>
          <w:color w:val="823C0B"/>
          <w:sz w:val="30"/>
          <w:szCs w:val="30"/>
        </w:rPr>
        <w:t>[指数]</w:t>
      </w:r>
      <w:bookmarkEnd w:id="42"/>
    </w:p>
    <w:p>
      <w:pPr>
        <w:ind w:left="420" w:leftChars="200"/>
        <w:outlineLvl w:val="1"/>
        <w:rPr>
          <w:rFonts w:ascii="Times New Roman" w:hAnsi="Times New Roman" w:eastAsia="楷体"/>
          <w:b/>
          <w:color w:val="000000" w:themeColor="text1"/>
          <w:sz w:val="24"/>
          <w:szCs w:val="24"/>
          <w14:textFill>
            <w14:solidFill>
              <w14:schemeClr w14:val="tx1"/>
            </w14:solidFill>
          </w14:textFill>
        </w:rPr>
      </w:pPr>
      <w:bookmarkStart w:id="43" w:name="_Toc18165"/>
      <w:r>
        <w:rPr>
          <w:rFonts w:hint="eastAsia" w:ascii="Times New Roman" w:hAnsi="Times New Roman" w:eastAsia="楷体"/>
          <w:b/>
          <w:color w:val="000000" w:themeColor="text1"/>
          <w:sz w:val="24"/>
          <w:szCs w:val="24"/>
          <w14:textFill>
            <w14:solidFill>
              <w14:schemeClr w14:val="tx1"/>
            </w14:solidFill>
          </w14:textFill>
        </w:rPr>
        <w:t>集运指数（欧线）：运价指数上行提振市场情绪，期价超跌反弹</w:t>
      </w:r>
      <w:bookmarkEnd w:id="43"/>
    </w:p>
    <w:p>
      <w:pPr>
        <w:ind w:left="630" w:leftChars="300"/>
        <w:rPr>
          <w:rFonts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继上周五主力期价下跌至60日线支撑附近以后，最新一期运价指数大幅上涨提振市场情绪，本周初期价超跌反弹。02合约收涨8.48%至2810.0。线上报价方面，12月上旬报价较上周时小幅调降，如HMM暂报2768/5106，OOCL暂报3100/5200，ONE暂报2992/5204，EMC个别船次报3835/5820。最新一期运价指数大幅上涨，11月29日，上海航运交易所发布的上海出口集装箱综合运价指数为2233.83点，较上期上涨3.4%。11月29日，上海港出口至欧洲基本港市场运价（海运及海运附加费）为3039美元/TEU，较上期上涨22.5%。11月29日，上海港出口至地中海基本港市场运价（海运及海运附加费）为3682美元/TEU，较上期上涨19.9%。虽然船司12月上旬报价较上周时小幅调降，但欧元区11月经济景气指数略好于市场预期的表现仍然在一定程度上强化了年底需求仍边际向好的预期，期价或宽幅震荡，短线可考虑逢低轻仓试多。</w:t>
      </w:r>
    </w:p>
    <w:p>
      <w:pPr>
        <w:ind w:firstLine="602" w:firstLineChars="200"/>
        <w:rPr>
          <w:rFonts w:ascii="Times New Roman" w:hAnsi="Times New Roman" w:eastAsia="楷体"/>
          <w:b/>
          <w:color w:val="800000"/>
          <w:sz w:val="30"/>
          <w:szCs w:val="30"/>
        </w:rPr>
      </w:pPr>
      <w:r>
        <w:rPr>
          <w:rFonts w:ascii="Times New Roman" w:hAnsi="Times New Roman" w:eastAsia="楷体"/>
          <w:b/>
          <w:color w:val="800000"/>
          <w:sz w:val="30"/>
          <w:szCs w:val="30"/>
        </w:rPr>
        <w:br w:type="page"/>
      </w:r>
    </w:p>
    <w:p>
      <w:pPr>
        <w:spacing w:line="360" w:lineRule="auto"/>
        <w:jc w:val="center"/>
        <w:rPr>
          <w:rFonts w:ascii="Times New Roman" w:hAnsi="Times New Roman" w:eastAsia="楷体"/>
          <w:b/>
          <w:color w:val="411D05"/>
          <w:sz w:val="30"/>
          <w:szCs w:val="30"/>
        </w:rPr>
      </w:pPr>
      <w:bookmarkStart w:id="44" w:name="_Toc71212556"/>
      <w:bookmarkStart w:id="45" w:name="_Toc12779"/>
      <w:bookmarkStart w:id="46" w:name="_Toc19667"/>
      <w:bookmarkStart w:id="47" w:name="_Toc72481108"/>
      <w:bookmarkStart w:id="48" w:name="_Toc98426751"/>
      <w:r>
        <w:rPr>
          <w:rFonts w:ascii="Times New Roman" w:hAnsi="Times New Roman" w:eastAsia="楷体"/>
          <w:b/>
          <w:color w:val="411D05"/>
          <w:sz w:val="30"/>
          <w:szCs w:val="30"/>
        </w:rPr>
        <w:t>免责声明</w:t>
      </w:r>
      <w:bookmarkEnd w:id="44"/>
      <w:bookmarkEnd w:id="45"/>
      <w:bookmarkEnd w:id="46"/>
      <w:bookmarkEnd w:id="47"/>
      <w:bookmarkEnd w:id="48"/>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pPr>
        <w:ind w:firstLine="422" w:firstLineChars="200"/>
        <w:rPr>
          <w:rFonts w:ascii="Times New Roman" w:hAnsi="Times New Roman" w:eastAsia="楷体"/>
        </w:rPr>
      </w:pPr>
      <w:r>
        <w:rPr>
          <w:rFonts w:hint="eastAsia" w:ascii="Times New Roman" w:hAnsi="Times New Roman" w:eastAsia="楷体"/>
          <w:b/>
          <w:bCs/>
          <w:color w:val="C00000"/>
        </w:rPr>
        <w:t>广州期货股份有限公司提醒广大投资者：期市有风险，入市需谨慎！</w:t>
      </w:r>
    </w:p>
    <w:p>
      <w:pPr>
        <w:ind w:firstLine="420" w:firstLineChars="200"/>
        <w:rPr>
          <w:rFonts w:ascii="Times New Roman" w:hAnsi="Times New Roman" w:eastAsia="楷体"/>
        </w:rPr>
      </w:pPr>
    </w:p>
    <w:p>
      <w:pPr>
        <w:ind w:firstLine="420" w:firstLineChars="200"/>
        <w:rPr>
          <w:rFonts w:ascii="Times New Roman" w:hAnsi="Times New Roman" w:eastAsia="楷体"/>
        </w:rPr>
      </w:pPr>
    </w:p>
    <w:p>
      <w:pPr>
        <w:jc w:val="left"/>
        <w:rPr>
          <w:rFonts w:ascii="Times New Roman" w:hAnsi="Times New Roman" w:eastAsia="楷体"/>
          <w:b/>
          <w:color w:val="823C0B"/>
          <w:sz w:val="28"/>
        </w:rPr>
      </w:pPr>
      <w:r>
        <w:rPr>
          <w:rFonts w:ascii="Times New Roman" w:hAnsi="Times New Roman" w:eastAsia="楷体"/>
          <w:b/>
          <w:color w:val="823C0B"/>
          <w:sz w:val="28"/>
        </w:rPr>
        <w:t xml:space="preserve">投资咨询业务资格:证监许可【2012】1497号 </w:t>
      </w:r>
    </w:p>
    <w:p>
      <w:pPr>
        <w:ind w:firstLine="440" w:firstLineChars="200"/>
        <w:rPr>
          <w:rFonts w:ascii="Times New Roman" w:hAnsi="Times New Roman" w:eastAsia="楷体" w:cs="Times New Roman"/>
          <w:sz w:val="22"/>
        </w:rPr>
      </w:pPr>
    </w:p>
    <w:tbl>
      <w:tblPr>
        <w:tblStyle w:val="89"/>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0"/>
        <w:gridCol w:w="42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谢紫琪</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：F3032560</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：Z0014338</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范红军</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F03098791</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：Z0017690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许克元</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：F3022666</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：Z0013612</w:t>
            </w:r>
          </w:p>
        </w:tc>
        <w:tc>
          <w:tcPr>
            <w:tcW w:w="4262" w:type="dxa"/>
          </w:tcPr>
          <w:p>
            <w:pPr>
              <w:rPr>
                <w:rFonts w:ascii="Times New Roman" w:hAnsi="Times New Roman" w:eastAsia="楷体" w:cs="Times New Roman"/>
                <w:color w:val="823C0B"/>
                <w:sz w:val="22"/>
              </w:rPr>
            </w:pP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ind w:firstLine="420" w:firstLineChars="200"/>
        <w:rPr>
          <w:rFonts w:ascii="Times New Roman" w:hAnsi="Times New Roman" w:eastAsia="楷体"/>
        </w:rPr>
      </w:pPr>
    </w:p>
    <w:tbl>
      <w:tblPr>
        <w:tblStyle w:val="88"/>
        <w:tblW w:w="5000" w:type="pct"/>
        <w:jc w:val="center"/>
        <w:tblLayout w:type="autofit"/>
        <w:tblCellMar>
          <w:top w:w="0" w:type="dxa"/>
          <w:left w:w="108" w:type="dxa"/>
          <w:bottom w:w="0" w:type="dxa"/>
          <w:right w:w="108" w:type="dxa"/>
        </w:tblCellMar>
      </w:tblPr>
      <w:tblGrid>
        <w:gridCol w:w="8522"/>
      </w:tblGrid>
      <w:tr>
        <w:tblPrEx>
          <w:tblCellMar>
            <w:top w:w="0" w:type="dxa"/>
            <w:left w:w="108" w:type="dxa"/>
            <w:bottom w:w="0" w:type="dxa"/>
            <w:right w:w="108" w:type="dxa"/>
          </w:tblCellMar>
        </w:tblPrEx>
        <w:trPr>
          <w:jc w:val="center"/>
        </w:trPr>
        <w:tc>
          <w:tcPr>
            <w:tcW w:w="5000" w:type="pct"/>
            <w:shd w:val="clear" w:color="auto" w:fill="auto"/>
            <w:vAlign w:val="center"/>
          </w:tcPr>
          <w:p>
            <w:pPr>
              <w:rPr>
                <w:rFonts w:ascii="Times New Roman" w:hAnsi="Times New Roman" w:eastAsia="楷体"/>
                <w:b/>
                <w:bCs/>
                <w:color w:val="823C0B"/>
              </w:rPr>
            </w:pPr>
            <w:r>
              <w:rPr>
                <w:rFonts w:ascii="Times New Roman" w:hAnsi="Times New Roman" w:eastAsia="楷体"/>
                <w:bCs/>
                <w:color w:val="823C0B"/>
              </w:rPr>
              <w:t>办公地址：广州市天河区</w:t>
            </w:r>
            <w:r>
              <w:rPr>
                <w:rFonts w:hint="eastAsia" w:ascii="Times New Roman" w:hAnsi="Times New Roman" w:eastAsia="楷体"/>
                <w:bCs/>
                <w:color w:val="823C0B"/>
              </w:rPr>
              <w:t>临江大道1号寺右万科中心南塔</w:t>
            </w:r>
            <w:r>
              <w:rPr>
                <w:rFonts w:ascii="Times New Roman" w:hAnsi="Times New Roman" w:eastAsia="楷体"/>
                <w:bCs/>
                <w:color w:val="823C0B"/>
              </w:rPr>
              <w:t>6</w:t>
            </w:r>
            <w:r>
              <w:rPr>
                <w:rFonts w:hint="eastAsia" w:ascii="Times New Roman" w:hAnsi="Times New Roman" w:eastAsia="楷体"/>
                <w:bCs/>
                <w:color w:val="823C0B"/>
              </w:rPr>
              <w:t>层</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color w:val="823C0B"/>
              </w:rPr>
            </w:pPr>
            <w:r>
              <w:rPr>
                <w:rFonts w:hint="eastAsia" w:ascii="Times New Roman" w:hAnsi="Times New Roman" w:eastAsia="楷体"/>
                <w:bCs/>
                <w:color w:val="823C0B"/>
              </w:rPr>
              <w:t>联系方式: (020)22836102</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bCs/>
                <w:color w:val="823C0B"/>
              </w:rPr>
            </w:pPr>
            <w:r>
              <w:rPr>
                <w:rFonts w:ascii="Times New Roman" w:hAnsi="Times New Roman" w:eastAsia="楷体"/>
                <w:bCs/>
                <w:color w:val="823C0B"/>
              </w:rPr>
              <w:t>邮政编码：510627</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pBdr>
          <w:top w:val="none" w:color="auto" w:sz="0" w:space="1"/>
          <w:left w:val="none" w:color="auto" w:sz="0" w:space="4"/>
          <w:bottom w:val="none" w:color="auto" w:sz="0" w:space="1"/>
          <w:right w:val="none" w:color="auto" w:sz="0" w:space="4"/>
        </w:pBdr>
      </w:pPr>
    </w:p>
    <w:sectPr>
      <w:footerReference r:id="rId7" w:type="first"/>
      <w:footerReference r:id="rId6" w:type="default"/>
      <w:pgSz w:w="11906" w:h="16838"/>
      <w:pgMar w:top="1440" w:right="1800" w:bottom="1440" w:left="1800" w:header="850" w:footer="1077"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Bdr>
        <w:top w:val="single" w:color="000000" w:sz="4" w:space="0"/>
      </w:pBdr>
      <w:jc w:val="both"/>
    </w:pPr>
    <w:r>
      <w:rPr>
        <w:rFonts w:hint="eastAsia" w:ascii="楷体" w:hAnsi="楷体" w:eastAsia="楷体" w:cs="Times New Roman"/>
        <w:b/>
        <w:color w:val="833C0B"/>
        <w:sz w:val="21"/>
        <w:lang w:bidi="ar"/>
      </w:rPr>
      <w:t>广州期货提醒各位投资者，期市有风险，入市需谨慎！请阅读文末免责声明</w:t>
    </w: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 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 1</w:t>
                    </w:r>
                  </w:p>
                </w:txbxContent>
              </v:textbox>
            </v:shape>
          </w:pict>
        </mc:Fallback>
      </mc:AlternateContent>
    </w:r>
    <w:r>
      <w:rPr>
        <w:rFonts w:hint="eastAsia" w:ascii="楷体" w:hAnsi="楷体" w:eastAsia="楷体" w:cs="Times New Roman"/>
        <w:b/>
        <w:color w:val="833C0B"/>
        <w:sz w:val="21"/>
        <w:lang w:bidi="ar"/>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Bdr>
        <w:top w:val="single" w:color="000000" w:sz="4" w:space="0"/>
      </w:pBdr>
      <w:jc w:val="both"/>
    </w:pPr>
    <w: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85.4pt;margin-top:-0.85pt;height:144pt;width:144pt;mso-position-horizontal-relative:margin;mso-wrap-style:none;z-index:251662336;mso-width-relative:page;mso-height-relative:page;" filled="f" stroked="f" coordsize="21600,21600" o:gfxdata="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pUetTYAAAACwEAAA8AAAAAAAAAAQAgAAAAIgAAAGRycy9kb3ducmV2LnhtbFBLAQIU&#10;ABQAAAAIAIdO4kAXDIm4LAIAAFUEAAAOAAAAAAAAAAEAIAAAACcBAABkcnMvZTJvRG9jLnhtbFBL&#10;BQYAAAAABgAGAFkBAADFBQAAAAA=&#10;">
              <v:fill on="f" focussize="0,0"/>
              <v:stroke on="f" weight="0.5pt"/>
              <v:imagedata o:title=""/>
              <o:lock v:ext="edit" aspectratio="f"/>
              <v:textbox inset="0mm,0mm,0mm,0mm" style="mso-fit-shape-to-text:t;">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w:t>
                    </w:r>
                  </w:p>
                </w:txbxContent>
              </v:textbox>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ascii="Times New Roman" w:hAnsi="Times New Roman" w:eastAsia="楷体" w:cs="Times New Roman"/>
                              <w:b/>
                              <w:color w:val="833C0B"/>
                              <w:sz w:val="21"/>
                              <w:lang w:bidi="ar"/>
                            </w:rPr>
                            <w:t>1</w:t>
                          </w:r>
                          <w:r>
                            <w:rPr>
                              <w:rFonts w:hint="eastAsia" w:ascii="Times New Roman" w:hAnsi="Times New Roman" w:eastAsia="楷体" w:cs="Times New Roman"/>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55"/>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ascii="Times New Roman" w:hAnsi="Times New Roman" w:eastAsia="楷体" w:cs="Times New Roman"/>
                        <w:b/>
                        <w:color w:val="833C0B"/>
                        <w:sz w:val="21"/>
                        <w:lang w:bidi="ar"/>
                      </w:rPr>
                      <w:t>1</w:t>
                    </w:r>
                    <w:r>
                      <w:rPr>
                        <w:rFonts w:hint="eastAsia" w:ascii="Times New Roman" w:hAnsi="Times New Roman" w:eastAsia="楷体" w:cs="Times New Roman"/>
                        <w:b/>
                        <w:color w:val="833C0B"/>
                        <w:sz w:val="21"/>
                        <w:lang w:bidi="ar"/>
                      </w:rPr>
                      <w:fldChar w:fldCharType="end"/>
                    </w:r>
                  </w:p>
                </w:txbxContent>
              </v:textbox>
            </v:shape>
          </w:pict>
        </mc:Fallback>
      </mc:AlternateContent>
    </w:r>
    <w:r>
      <w:rPr>
        <w:rFonts w:hint="eastAsia" w:ascii="楷体" w:hAnsi="楷体" w:eastAsia="楷体" w:cs="Times New Roman"/>
        <w:b/>
        <w:color w:val="833C0B"/>
        <w:sz w:val="21"/>
        <w:lang w:bidi="ar"/>
      </w:rPr>
      <w:t>广州期货提醒各位投资者，期市有风险，入市需谨慎！请阅读文末免责声明。</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5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right"/>
    </w:pPr>
    <w:r>
      <w:drawing>
        <wp:anchor distT="0" distB="0" distL="114300" distR="114300" simplePos="0" relativeHeight="251659264" behindDoc="0" locked="0" layoutInCell="1" allowOverlap="1">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pPr>
      <w:pStyle w:val="57"/>
      <w:pBdr>
        <w:bottom w:val="single" w:color="auto" w:sz="4" w:space="1"/>
      </w:pBdr>
      <w:jc w:val="right"/>
      <w:rPr>
        <w:b/>
        <w:bCs/>
      </w:rPr>
    </w:pPr>
    <w:r>
      <w:ptab w:relativeTo="margin" w:alignment="center" w:leader="none"/>
    </w:r>
    <w:r>
      <w:rPr>
        <w:rFonts w:hint="eastAsia" w:ascii="Times New Roman" w:hAnsi="Times New Roman" w:eastAsia="楷体"/>
        <w:b/>
        <w:bCs/>
        <w:color w:val="833C0B"/>
        <w:sz w:val="21"/>
      </w:rPr>
      <w:t>早间直通车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right"/>
      <w:rPr>
        <w:rFonts w:ascii="Times New Roman" w:hAnsi="Times New Roman" w:eastAsia="楷体"/>
        <w:b/>
        <w:bCs/>
        <w:color w:val="833C0B"/>
        <w:sz w:val="21"/>
      </w:rPr>
    </w:pPr>
    <w:r>
      <w:ptab w:relativeTo="margin" w:alignment="center" w:leader="none"/>
    </w:r>
    <w:r>
      <w:drawing>
        <wp:anchor distT="0" distB="0" distL="114300" distR="114300" simplePos="0" relativeHeight="251661312" behindDoc="0" locked="0" layoutInCell="1" allowOverlap="1">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hint="eastAsia" w:ascii="Times New Roman" w:hAnsi="Times New Roman" w:eastAsia="楷体"/>
        <w:b/>
        <w:bCs/>
        <w:color w:val="833C0B"/>
        <w:sz w:val="21"/>
      </w:rPr>
      <w:t>早间直通车</w:t>
    </w:r>
  </w:p>
  <w:p>
    <w:pPr>
      <w:pStyle w:val="57"/>
      <w:pBdr>
        <w:bottom w:val="single" w:color="auto" w:sz="4" w:space="1"/>
      </w:pBdr>
      <w:jc w:val="right"/>
    </w:pPr>
    <w:r>
      <w:rPr>
        <w:rFonts w:ascii="Times New Roman" w:hAnsi="Times New Roman" w:eastAsia="楷体"/>
        <w:b/>
        <w:bCs/>
        <w:color w:val="833C0B"/>
        <w:sz w:val="21"/>
      </w:rPr>
      <w:fldChar w:fldCharType="begin"/>
    </w:r>
    <w:r>
      <w:rPr>
        <w:rFonts w:ascii="Times New Roman" w:hAnsi="Times New Roman" w:eastAsia="楷体"/>
        <w:b/>
        <w:bCs/>
        <w:color w:val="833C0B"/>
        <w:sz w:val="21"/>
      </w:rPr>
      <w:instrText xml:space="preserve"> </w:instrText>
    </w:r>
    <w:r>
      <w:rPr>
        <w:rFonts w:hint="eastAsia" w:ascii="Times New Roman" w:hAnsi="Times New Roman" w:eastAsia="楷体"/>
        <w:b/>
        <w:bCs/>
        <w:color w:val="833C0B"/>
        <w:sz w:val="21"/>
      </w:rPr>
      <w:instrText xml:space="preserve">TIME \@ "yyyy年M月d日星期W"</w:instrText>
    </w:r>
    <w:r>
      <w:rPr>
        <w:rFonts w:ascii="Times New Roman" w:hAnsi="Times New Roman" w:eastAsia="楷体"/>
        <w:b/>
        <w:bCs/>
        <w:color w:val="833C0B"/>
        <w:sz w:val="21"/>
      </w:rPr>
      <w:instrText xml:space="preserve"> </w:instrText>
    </w:r>
    <w:r>
      <w:rPr>
        <w:rFonts w:ascii="Times New Roman" w:hAnsi="Times New Roman" w:eastAsia="楷体"/>
        <w:b/>
        <w:bCs/>
        <w:color w:val="833C0B"/>
        <w:sz w:val="21"/>
      </w:rPr>
      <w:fldChar w:fldCharType="separate"/>
    </w:r>
    <w:r>
      <w:rPr>
        <w:rFonts w:hint="eastAsia" w:ascii="Times New Roman" w:hAnsi="Times New Roman" w:eastAsia="楷体"/>
        <w:b/>
        <w:bCs/>
        <w:color w:val="833C0B"/>
        <w:sz w:val="21"/>
      </w:rPr>
      <w:t>2024年12月3日星期二</w:t>
    </w:r>
    <w:r>
      <w:rPr>
        <w:rFonts w:ascii="Times New Roman" w:hAnsi="Times New Roman" w:eastAsia="楷体"/>
        <w:b/>
        <w:bCs/>
        <w:color w:val="833C0B"/>
        <w:sz w:val="21"/>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5"/>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47"/>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36"/>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14"/>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46"/>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17"/>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33"/>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40"/>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20"/>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24"/>
      <w:lvlText w:val=""/>
      <w:lvlJc w:val="left"/>
      <w:pPr>
        <w:tabs>
          <w:tab w:val="left" w:pos="360"/>
        </w:tabs>
        <w:ind w:left="360" w:hanging="360" w:hangingChars="200"/>
      </w:pPr>
      <w:rPr>
        <w:rFonts w:hint="default" w:ascii="Wingdings" w:hAnsi="Wingdings"/>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3B3306F0"/>
    <w:rsid w:val="00003BBB"/>
    <w:rsid w:val="0000534E"/>
    <w:rsid w:val="000058D8"/>
    <w:rsid w:val="00006269"/>
    <w:rsid w:val="00010BF8"/>
    <w:rsid w:val="00012A9A"/>
    <w:rsid w:val="000151C6"/>
    <w:rsid w:val="00020E82"/>
    <w:rsid w:val="00024902"/>
    <w:rsid w:val="000249A6"/>
    <w:rsid w:val="00024C21"/>
    <w:rsid w:val="00032A7A"/>
    <w:rsid w:val="00035EB2"/>
    <w:rsid w:val="000417D7"/>
    <w:rsid w:val="00050B6C"/>
    <w:rsid w:val="0005286B"/>
    <w:rsid w:val="0005726F"/>
    <w:rsid w:val="00057E99"/>
    <w:rsid w:val="00060F08"/>
    <w:rsid w:val="00072E13"/>
    <w:rsid w:val="00072EAA"/>
    <w:rsid w:val="00073CEF"/>
    <w:rsid w:val="00076420"/>
    <w:rsid w:val="000820C6"/>
    <w:rsid w:val="0008229A"/>
    <w:rsid w:val="00093E40"/>
    <w:rsid w:val="00094BAE"/>
    <w:rsid w:val="00096258"/>
    <w:rsid w:val="000A390A"/>
    <w:rsid w:val="000A413E"/>
    <w:rsid w:val="000A476D"/>
    <w:rsid w:val="000B0648"/>
    <w:rsid w:val="000B4E70"/>
    <w:rsid w:val="000B56D3"/>
    <w:rsid w:val="000C102A"/>
    <w:rsid w:val="000C3C5C"/>
    <w:rsid w:val="000C475E"/>
    <w:rsid w:val="000C4F17"/>
    <w:rsid w:val="000D36DC"/>
    <w:rsid w:val="000D42E2"/>
    <w:rsid w:val="000D7CF0"/>
    <w:rsid w:val="000E03FC"/>
    <w:rsid w:val="000E0968"/>
    <w:rsid w:val="000E0C15"/>
    <w:rsid w:val="000E4EEB"/>
    <w:rsid w:val="00115EEA"/>
    <w:rsid w:val="00117470"/>
    <w:rsid w:val="00120B1F"/>
    <w:rsid w:val="00121DBA"/>
    <w:rsid w:val="0012609D"/>
    <w:rsid w:val="001275B7"/>
    <w:rsid w:val="00127803"/>
    <w:rsid w:val="00127FF1"/>
    <w:rsid w:val="00147668"/>
    <w:rsid w:val="00147B03"/>
    <w:rsid w:val="0015047B"/>
    <w:rsid w:val="00152664"/>
    <w:rsid w:val="001529BB"/>
    <w:rsid w:val="00155A0F"/>
    <w:rsid w:val="00156FEB"/>
    <w:rsid w:val="001579F3"/>
    <w:rsid w:val="00163783"/>
    <w:rsid w:val="00163984"/>
    <w:rsid w:val="00170E7B"/>
    <w:rsid w:val="00170EDF"/>
    <w:rsid w:val="001801C4"/>
    <w:rsid w:val="0018476D"/>
    <w:rsid w:val="0018678E"/>
    <w:rsid w:val="001942CB"/>
    <w:rsid w:val="001945E9"/>
    <w:rsid w:val="001A3E49"/>
    <w:rsid w:val="001A44F9"/>
    <w:rsid w:val="001B0610"/>
    <w:rsid w:val="001B179D"/>
    <w:rsid w:val="001B1904"/>
    <w:rsid w:val="001B25C9"/>
    <w:rsid w:val="001B2D4C"/>
    <w:rsid w:val="001B6043"/>
    <w:rsid w:val="001B6394"/>
    <w:rsid w:val="001B6B7D"/>
    <w:rsid w:val="001C267B"/>
    <w:rsid w:val="001C2E87"/>
    <w:rsid w:val="001C77D0"/>
    <w:rsid w:val="001D1F0A"/>
    <w:rsid w:val="001D40EA"/>
    <w:rsid w:val="001D4474"/>
    <w:rsid w:val="001D5419"/>
    <w:rsid w:val="001D6E4C"/>
    <w:rsid w:val="001D7D0A"/>
    <w:rsid w:val="001E1A3C"/>
    <w:rsid w:val="001E3813"/>
    <w:rsid w:val="001F5070"/>
    <w:rsid w:val="001F5438"/>
    <w:rsid w:val="001F7531"/>
    <w:rsid w:val="001F79C6"/>
    <w:rsid w:val="002006C2"/>
    <w:rsid w:val="00201944"/>
    <w:rsid w:val="00206537"/>
    <w:rsid w:val="002074A1"/>
    <w:rsid w:val="00216C1E"/>
    <w:rsid w:val="00226406"/>
    <w:rsid w:val="0023093E"/>
    <w:rsid w:val="00230DB7"/>
    <w:rsid w:val="00235529"/>
    <w:rsid w:val="00244CA3"/>
    <w:rsid w:val="0025590B"/>
    <w:rsid w:val="00264E6F"/>
    <w:rsid w:val="00267FFD"/>
    <w:rsid w:val="0027652F"/>
    <w:rsid w:val="00282262"/>
    <w:rsid w:val="00284165"/>
    <w:rsid w:val="00285297"/>
    <w:rsid w:val="00291461"/>
    <w:rsid w:val="00292AE8"/>
    <w:rsid w:val="002951EB"/>
    <w:rsid w:val="00296325"/>
    <w:rsid w:val="00297A1B"/>
    <w:rsid w:val="002A0670"/>
    <w:rsid w:val="002A6C89"/>
    <w:rsid w:val="002B0F87"/>
    <w:rsid w:val="002B2257"/>
    <w:rsid w:val="002B294F"/>
    <w:rsid w:val="002B2B4E"/>
    <w:rsid w:val="002B32AE"/>
    <w:rsid w:val="002B32FF"/>
    <w:rsid w:val="002C0C59"/>
    <w:rsid w:val="002C73FE"/>
    <w:rsid w:val="002D7FC5"/>
    <w:rsid w:val="002F075C"/>
    <w:rsid w:val="002F545E"/>
    <w:rsid w:val="002F6AD1"/>
    <w:rsid w:val="002F7810"/>
    <w:rsid w:val="0031065A"/>
    <w:rsid w:val="00320AB1"/>
    <w:rsid w:val="00321629"/>
    <w:rsid w:val="003230A0"/>
    <w:rsid w:val="00323550"/>
    <w:rsid w:val="003238A5"/>
    <w:rsid w:val="00330C71"/>
    <w:rsid w:val="0033167B"/>
    <w:rsid w:val="00332216"/>
    <w:rsid w:val="00332F22"/>
    <w:rsid w:val="0033644D"/>
    <w:rsid w:val="003416C2"/>
    <w:rsid w:val="00341727"/>
    <w:rsid w:val="00344AED"/>
    <w:rsid w:val="003471F4"/>
    <w:rsid w:val="003523FF"/>
    <w:rsid w:val="00357545"/>
    <w:rsid w:val="00370D25"/>
    <w:rsid w:val="00371ED6"/>
    <w:rsid w:val="00374836"/>
    <w:rsid w:val="00375F0B"/>
    <w:rsid w:val="00376AF1"/>
    <w:rsid w:val="00380E38"/>
    <w:rsid w:val="00381978"/>
    <w:rsid w:val="00383B5C"/>
    <w:rsid w:val="0038626D"/>
    <w:rsid w:val="0038677D"/>
    <w:rsid w:val="003953FD"/>
    <w:rsid w:val="003A1F3C"/>
    <w:rsid w:val="003A3DB4"/>
    <w:rsid w:val="003A5DDB"/>
    <w:rsid w:val="003C32DB"/>
    <w:rsid w:val="003C4855"/>
    <w:rsid w:val="003C54F5"/>
    <w:rsid w:val="003C5F91"/>
    <w:rsid w:val="003C70A3"/>
    <w:rsid w:val="003D3A9E"/>
    <w:rsid w:val="003F2424"/>
    <w:rsid w:val="003F43FB"/>
    <w:rsid w:val="003F56A5"/>
    <w:rsid w:val="00404AFE"/>
    <w:rsid w:val="004123EF"/>
    <w:rsid w:val="0041664D"/>
    <w:rsid w:val="004177A8"/>
    <w:rsid w:val="004201F5"/>
    <w:rsid w:val="004230AC"/>
    <w:rsid w:val="00426AB5"/>
    <w:rsid w:val="00430222"/>
    <w:rsid w:val="00433C64"/>
    <w:rsid w:val="00440FBE"/>
    <w:rsid w:val="004427D1"/>
    <w:rsid w:val="00443773"/>
    <w:rsid w:val="00452F14"/>
    <w:rsid w:val="004567BD"/>
    <w:rsid w:val="00461147"/>
    <w:rsid w:val="004648E2"/>
    <w:rsid w:val="0047103A"/>
    <w:rsid w:val="00481046"/>
    <w:rsid w:val="00484C53"/>
    <w:rsid w:val="00485A3F"/>
    <w:rsid w:val="00486646"/>
    <w:rsid w:val="00487F77"/>
    <w:rsid w:val="00490056"/>
    <w:rsid w:val="00491DD7"/>
    <w:rsid w:val="00495F18"/>
    <w:rsid w:val="004977A9"/>
    <w:rsid w:val="004A1926"/>
    <w:rsid w:val="004A382D"/>
    <w:rsid w:val="004A3F85"/>
    <w:rsid w:val="004A65B5"/>
    <w:rsid w:val="004A78BA"/>
    <w:rsid w:val="004B4BB6"/>
    <w:rsid w:val="004B4D4D"/>
    <w:rsid w:val="004C11A7"/>
    <w:rsid w:val="004C4541"/>
    <w:rsid w:val="004C4CA5"/>
    <w:rsid w:val="004C5F3F"/>
    <w:rsid w:val="004D0484"/>
    <w:rsid w:val="004D1AE5"/>
    <w:rsid w:val="004D6F74"/>
    <w:rsid w:val="004E269E"/>
    <w:rsid w:val="004E2959"/>
    <w:rsid w:val="004E3A10"/>
    <w:rsid w:val="004E58A5"/>
    <w:rsid w:val="004E6093"/>
    <w:rsid w:val="004E6F41"/>
    <w:rsid w:val="004F2492"/>
    <w:rsid w:val="00503551"/>
    <w:rsid w:val="0051222D"/>
    <w:rsid w:val="005145ED"/>
    <w:rsid w:val="00521683"/>
    <w:rsid w:val="00523E95"/>
    <w:rsid w:val="005245A4"/>
    <w:rsid w:val="00526949"/>
    <w:rsid w:val="00533D1C"/>
    <w:rsid w:val="00535DC9"/>
    <w:rsid w:val="005376B7"/>
    <w:rsid w:val="00540298"/>
    <w:rsid w:val="00541F3F"/>
    <w:rsid w:val="0054268F"/>
    <w:rsid w:val="005460A3"/>
    <w:rsid w:val="00547DD7"/>
    <w:rsid w:val="00550252"/>
    <w:rsid w:val="00551A8D"/>
    <w:rsid w:val="005523A5"/>
    <w:rsid w:val="00553DEC"/>
    <w:rsid w:val="00554002"/>
    <w:rsid w:val="00557C07"/>
    <w:rsid w:val="00567E42"/>
    <w:rsid w:val="00572E35"/>
    <w:rsid w:val="00576234"/>
    <w:rsid w:val="005818A8"/>
    <w:rsid w:val="005842DF"/>
    <w:rsid w:val="0058734B"/>
    <w:rsid w:val="005903F3"/>
    <w:rsid w:val="00591B89"/>
    <w:rsid w:val="005926B7"/>
    <w:rsid w:val="00593B03"/>
    <w:rsid w:val="00593F40"/>
    <w:rsid w:val="0059697A"/>
    <w:rsid w:val="005A5EEB"/>
    <w:rsid w:val="005A79A4"/>
    <w:rsid w:val="005B5BDF"/>
    <w:rsid w:val="005B790A"/>
    <w:rsid w:val="005C05F7"/>
    <w:rsid w:val="005C05FA"/>
    <w:rsid w:val="005C49BA"/>
    <w:rsid w:val="005C5B1D"/>
    <w:rsid w:val="005D0D16"/>
    <w:rsid w:val="005E1CE0"/>
    <w:rsid w:val="005E6164"/>
    <w:rsid w:val="005F28F8"/>
    <w:rsid w:val="005F2CE6"/>
    <w:rsid w:val="005F45A8"/>
    <w:rsid w:val="005F5D8E"/>
    <w:rsid w:val="00605CB4"/>
    <w:rsid w:val="00606E2B"/>
    <w:rsid w:val="00610C41"/>
    <w:rsid w:val="00612D79"/>
    <w:rsid w:val="0061390B"/>
    <w:rsid w:val="00615F78"/>
    <w:rsid w:val="00620BEB"/>
    <w:rsid w:val="00622C65"/>
    <w:rsid w:val="00632593"/>
    <w:rsid w:val="006353D1"/>
    <w:rsid w:val="00637F19"/>
    <w:rsid w:val="00641752"/>
    <w:rsid w:val="00645DF5"/>
    <w:rsid w:val="00645EA4"/>
    <w:rsid w:val="00650F05"/>
    <w:rsid w:val="0065454E"/>
    <w:rsid w:val="00657B01"/>
    <w:rsid w:val="00661BB3"/>
    <w:rsid w:val="00666DE4"/>
    <w:rsid w:val="006755C1"/>
    <w:rsid w:val="006811C5"/>
    <w:rsid w:val="00686B2A"/>
    <w:rsid w:val="006911F3"/>
    <w:rsid w:val="006A135D"/>
    <w:rsid w:val="006A2D10"/>
    <w:rsid w:val="006A5214"/>
    <w:rsid w:val="006A6067"/>
    <w:rsid w:val="006A7A79"/>
    <w:rsid w:val="006B4A5D"/>
    <w:rsid w:val="006C38A8"/>
    <w:rsid w:val="006D21ED"/>
    <w:rsid w:val="006D66AE"/>
    <w:rsid w:val="006D725E"/>
    <w:rsid w:val="006E3745"/>
    <w:rsid w:val="006F220A"/>
    <w:rsid w:val="006F6553"/>
    <w:rsid w:val="007029E1"/>
    <w:rsid w:val="00702D65"/>
    <w:rsid w:val="00710028"/>
    <w:rsid w:val="007103A5"/>
    <w:rsid w:val="00710D22"/>
    <w:rsid w:val="007111CD"/>
    <w:rsid w:val="00717EF8"/>
    <w:rsid w:val="0072164F"/>
    <w:rsid w:val="007253E7"/>
    <w:rsid w:val="0072736C"/>
    <w:rsid w:val="007315D8"/>
    <w:rsid w:val="00740BD1"/>
    <w:rsid w:val="00743CFD"/>
    <w:rsid w:val="007664C1"/>
    <w:rsid w:val="007700C2"/>
    <w:rsid w:val="00772382"/>
    <w:rsid w:val="00782EFA"/>
    <w:rsid w:val="00785519"/>
    <w:rsid w:val="007866A5"/>
    <w:rsid w:val="0079299D"/>
    <w:rsid w:val="00792D31"/>
    <w:rsid w:val="00794D36"/>
    <w:rsid w:val="007952E9"/>
    <w:rsid w:val="00795500"/>
    <w:rsid w:val="0079639C"/>
    <w:rsid w:val="00796CB2"/>
    <w:rsid w:val="007A410D"/>
    <w:rsid w:val="007A66FE"/>
    <w:rsid w:val="007A713B"/>
    <w:rsid w:val="007B3290"/>
    <w:rsid w:val="007B42D0"/>
    <w:rsid w:val="007B4FCE"/>
    <w:rsid w:val="007B681E"/>
    <w:rsid w:val="007C1DB9"/>
    <w:rsid w:val="007C2FD2"/>
    <w:rsid w:val="007C62A6"/>
    <w:rsid w:val="007C6F18"/>
    <w:rsid w:val="007C7B84"/>
    <w:rsid w:val="007D2916"/>
    <w:rsid w:val="007D29EC"/>
    <w:rsid w:val="007D4BBD"/>
    <w:rsid w:val="007D67CC"/>
    <w:rsid w:val="007E1660"/>
    <w:rsid w:val="007E1FC2"/>
    <w:rsid w:val="007F09BE"/>
    <w:rsid w:val="007F1327"/>
    <w:rsid w:val="007F140C"/>
    <w:rsid w:val="007F186E"/>
    <w:rsid w:val="007F197B"/>
    <w:rsid w:val="0080339F"/>
    <w:rsid w:val="0080612D"/>
    <w:rsid w:val="00806354"/>
    <w:rsid w:val="0080692E"/>
    <w:rsid w:val="00806CD5"/>
    <w:rsid w:val="00806F4A"/>
    <w:rsid w:val="0080753A"/>
    <w:rsid w:val="008111C8"/>
    <w:rsid w:val="008149F4"/>
    <w:rsid w:val="00814F10"/>
    <w:rsid w:val="00815011"/>
    <w:rsid w:val="00815817"/>
    <w:rsid w:val="00815EF6"/>
    <w:rsid w:val="00816F85"/>
    <w:rsid w:val="00820D28"/>
    <w:rsid w:val="00822591"/>
    <w:rsid w:val="00827E8A"/>
    <w:rsid w:val="008316CB"/>
    <w:rsid w:val="0083288D"/>
    <w:rsid w:val="0083605E"/>
    <w:rsid w:val="00840F4E"/>
    <w:rsid w:val="008463FD"/>
    <w:rsid w:val="00853880"/>
    <w:rsid w:val="00856132"/>
    <w:rsid w:val="00860311"/>
    <w:rsid w:val="00861497"/>
    <w:rsid w:val="008649BB"/>
    <w:rsid w:val="008655EA"/>
    <w:rsid w:val="00867CA5"/>
    <w:rsid w:val="00873ECE"/>
    <w:rsid w:val="008740D4"/>
    <w:rsid w:val="00874708"/>
    <w:rsid w:val="00875F92"/>
    <w:rsid w:val="00876CE2"/>
    <w:rsid w:val="0087785E"/>
    <w:rsid w:val="00892203"/>
    <w:rsid w:val="0089393F"/>
    <w:rsid w:val="008A0893"/>
    <w:rsid w:val="008A11C6"/>
    <w:rsid w:val="008A1D22"/>
    <w:rsid w:val="008A4884"/>
    <w:rsid w:val="008B13D2"/>
    <w:rsid w:val="008B3268"/>
    <w:rsid w:val="008B361D"/>
    <w:rsid w:val="008C1554"/>
    <w:rsid w:val="008C3F42"/>
    <w:rsid w:val="008C53CE"/>
    <w:rsid w:val="008E2B15"/>
    <w:rsid w:val="008E33F3"/>
    <w:rsid w:val="008E3B84"/>
    <w:rsid w:val="008E54BD"/>
    <w:rsid w:val="008F1360"/>
    <w:rsid w:val="008F229B"/>
    <w:rsid w:val="008F2A6E"/>
    <w:rsid w:val="00903C18"/>
    <w:rsid w:val="00906E0C"/>
    <w:rsid w:val="00907943"/>
    <w:rsid w:val="00912194"/>
    <w:rsid w:val="009123AA"/>
    <w:rsid w:val="009127EC"/>
    <w:rsid w:val="00916E97"/>
    <w:rsid w:val="00920372"/>
    <w:rsid w:val="0092164B"/>
    <w:rsid w:val="009223B5"/>
    <w:rsid w:val="0092326A"/>
    <w:rsid w:val="009260D3"/>
    <w:rsid w:val="009316EC"/>
    <w:rsid w:val="009317CD"/>
    <w:rsid w:val="00934728"/>
    <w:rsid w:val="009644D9"/>
    <w:rsid w:val="00964539"/>
    <w:rsid w:val="0097131C"/>
    <w:rsid w:val="00972485"/>
    <w:rsid w:val="00973185"/>
    <w:rsid w:val="00982F5B"/>
    <w:rsid w:val="009870E4"/>
    <w:rsid w:val="00992BCC"/>
    <w:rsid w:val="009A12FA"/>
    <w:rsid w:val="009A564D"/>
    <w:rsid w:val="009B0D7B"/>
    <w:rsid w:val="009B3615"/>
    <w:rsid w:val="009B3801"/>
    <w:rsid w:val="009B534D"/>
    <w:rsid w:val="009B591A"/>
    <w:rsid w:val="009C30FE"/>
    <w:rsid w:val="009C3E56"/>
    <w:rsid w:val="009C483C"/>
    <w:rsid w:val="009D2477"/>
    <w:rsid w:val="009D2D8B"/>
    <w:rsid w:val="009D4A74"/>
    <w:rsid w:val="009D5253"/>
    <w:rsid w:val="009D5D79"/>
    <w:rsid w:val="009D64FE"/>
    <w:rsid w:val="009D75BB"/>
    <w:rsid w:val="009E0994"/>
    <w:rsid w:val="009E25E0"/>
    <w:rsid w:val="009E2C77"/>
    <w:rsid w:val="009E4452"/>
    <w:rsid w:val="009E5993"/>
    <w:rsid w:val="009E6D3E"/>
    <w:rsid w:val="009E7578"/>
    <w:rsid w:val="009E75B7"/>
    <w:rsid w:val="009F2C6B"/>
    <w:rsid w:val="009F5C7B"/>
    <w:rsid w:val="00A031CE"/>
    <w:rsid w:val="00A04421"/>
    <w:rsid w:val="00A11A0D"/>
    <w:rsid w:val="00A22080"/>
    <w:rsid w:val="00A223D3"/>
    <w:rsid w:val="00A32D1B"/>
    <w:rsid w:val="00A42079"/>
    <w:rsid w:val="00A4664E"/>
    <w:rsid w:val="00A531E8"/>
    <w:rsid w:val="00A573ED"/>
    <w:rsid w:val="00A60F08"/>
    <w:rsid w:val="00A61766"/>
    <w:rsid w:val="00A63022"/>
    <w:rsid w:val="00A6692C"/>
    <w:rsid w:val="00A71A7E"/>
    <w:rsid w:val="00A776D7"/>
    <w:rsid w:val="00A91C60"/>
    <w:rsid w:val="00A91E48"/>
    <w:rsid w:val="00A96E37"/>
    <w:rsid w:val="00A97444"/>
    <w:rsid w:val="00AA186F"/>
    <w:rsid w:val="00AA29E5"/>
    <w:rsid w:val="00AB0678"/>
    <w:rsid w:val="00AB3750"/>
    <w:rsid w:val="00AB4BF2"/>
    <w:rsid w:val="00AC00CF"/>
    <w:rsid w:val="00AC4EFA"/>
    <w:rsid w:val="00AC52CB"/>
    <w:rsid w:val="00AC5310"/>
    <w:rsid w:val="00AC7794"/>
    <w:rsid w:val="00AC7ECD"/>
    <w:rsid w:val="00AD009F"/>
    <w:rsid w:val="00AE6128"/>
    <w:rsid w:val="00AF299E"/>
    <w:rsid w:val="00AF54C5"/>
    <w:rsid w:val="00AF56FD"/>
    <w:rsid w:val="00AF5EA0"/>
    <w:rsid w:val="00B066DA"/>
    <w:rsid w:val="00B072C0"/>
    <w:rsid w:val="00B10135"/>
    <w:rsid w:val="00B10769"/>
    <w:rsid w:val="00B113F9"/>
    <w:rsid w:val="00B118A2"/>
    <w:rsid w:val="00B133D0"/>
    <w:rsid w:val="00B15418"/>
    <w:rsid w:val="00B17165"/>
    <w:rsid w:val="00B1737C"/>
    <w:rsid w:val="00B1758C"/>
    <w:rsid w:val="00B17639"/>
    <w:rsid w:val="00B23E58"/>
    <w:rsid w:val="00B23F73"/>
    <w:rsid w:val="00B30226"/>
    <w:rsid w:val="00B33C93"/>
    <w:rsid w:val="00B42124"/>
    <w:rsid w:val="00B443CE"/>
    <w:rsid w:val="00B449F5"/>
    <w:rsid w:val="00B4555A"/>
    <w:rsid w:val="00B51CAF"/>
    <w:rsid w:val="00B53C56"/>
    <w:rsid w:val="00B60464"/>
    <w:rsid w:val="00B606EF"/>
    <w:rsid w:val="00B618F8"/>
    <w:rsid w:val="00B64133"/>
    <w:rsid w:val="00B72E2D"/>
    <w:rsid w:val="00B745CB"/>
    <w:rsid w:val="00B805BD"/>
    <w:rsid w:val="00B80E26"/>
    <w:rsid w:val="00B81DA7"/>
    <w:rsid w:val="00B86490"/>
    <w:rsid w:val="00B873E2"/>
    <w:rsid w:val="00B91D3D"/>
    <w:rsid w:val="00B94E7D"/>
    <w:rsid w:val="00B97F08"/>
    <w:rsid w:val="00BA4663"/>
    <w:rsid w:val="00BA696B"/>
    <w:rsid w:val="00BA7212"/>
    <w:rsid w:val="00BC5F45"/>
    <w:rsid w:val="00BC71D6"/>
    <w:rsid w:val="00BD4C85"/>
    <w:rsid w:val="00BE1EFD"/>
    <w:rsid w:val="00BE4493"/>
    <w:rsid w:val="00BE456E"/>
    <w:rsid w:val="00BF3137"/>
    <w:rsid w:val="00BF4417"/>
    <w:rsid w:val="00BF44CB"/>
    <w:rsid w:val="00C02ECE"/>
    <w:rsid w:val="00C06AC7"/>
    <w:rsid w:val="00C13E0F"/>
    <w:rsid w:val="00C2031B"/>
    <w:rsid w:val="00C2080D"/>
    <w:rsid w:val="00C228D6"/>
    <w:rsid w:val="00C240C3"/>
    <w:rsid w:val="00C25562"/>
    <w:rsid w:val="00C265C5"/>
    <w:rsid w:val="00C27B89"/>
    <w:rsid w:val="00C34713"/>
    <w:rsid w:val="00C43DDB"/>
    <w:rsid w:val="00C46720"/>
    <w:rsid w:val="00C575E9"/>
    <w:rsid w:val="00C62202"/>
    <w:rsid w:val="00C6240E"/>
    <w:rsid w:val="00C647F2"/>
    <w:rsid w:val="00C66C6C"/>
    <w:rsid w:val="00C706BF"/>
    <w:rsid w:val="00C70FDD"/>
    <w:rsid w:val="00C73A39"/>
    <w:rsid w:val="00C80C0D"/>
    <w:rsid w:val="00C82E4D"/>
    <w:rsid w:val="00C85762"/>
    <w:rsid w:val="00C91234"/>
    <w:rsid w:val="00C93E36"/>
    <w:rsid w:val="00C950F3"/>
    <w:rsid w:val="00C96FB1"/>
    <w:rsid w:val="00CA1C01"/>
    <w:rsid w:val="00CB0962"/>
    <w:rsid w:val="00CB16F4"/>
    <w:rsid w:val="00CB1AC3"/>
    <w:rsid w:val="00CB1F18"/>
    <w:rsid w:val="00CB25EB"/>
    <w:rsid w:val="00CB2FD2"/>
    <w:rsid w:val="00CB3015"/>
    <w:rsid w:val="00CB60E6"/>
    <w:rsid w:val="00CB657C"/>
    <w:rsid w:val="00CC03C4"/>
    <w:rsid w:val="00CC3E40"/>
    <w:rsid w:val="00CC3FFA"/>
    <w:rsid w:val="00CC6C03"/>
    <w:rsid w:val="00CD1703"/>
    <w:rsid w:val="00CD4FE6"/>
    <w:rsid w:val="00CD5884"/>
    <w:rsid w:val="00CD5DE8"/>
    <w:rsid w:val="00CD70A0"/>
    <w:rsid w:val="00CD74BD"/>
    <w:rsid w:val="00CE7723"/>
    <w:rsid w:val="00CE7903"/>
    <w:rsid w:val="00CF42F6"/>
    <w:rsid w:val="00CF6C71"/>
    <w:rsid w:val="00CF7A9A"/>
    <w:rsid w:val="00D00D60"/>
    <w:rsid w:val="00D017E5"/>
    <w:rsid w:val="00D01A19"/>
    <w:rsid w:val="00D04FF1"/>
    <w:rsid w:val="00D07CDB"/>
    <w:rsid w:val="00D1367C"/>
    <w:rsid w:val="00D14B3E"/>
    <w:rsid w:val="00D1582A"/>
    <w:rsid w:val="00D17FB1"/>
    <w:rsid w:val="00D21BE4"/>
    <w:rsid w:val="00D25C5A"/>
    <w:rsid w:val="00D309C4"/>
    <w:rsid w:val="00D32D2F"/>
    <w:rsid w:val="00D341CA"/>
    <w:rsid w:val="00D41AF4"/>
    <w:rsid w:val="00D4554A"/>
    <w:rsid w:val="00D45E53"/>
    <w:rsid w:val="00D47039"/>
    <w:rsid w:val="00D55EAF"/>
    <w:rsid w:val="00D63655"/>
    <w:rsid w:val="00D66257"/>
    <w:rsid w:val="00D673AD"/>
    <w:rsid w:val="00D75630"/>
    <w:rsid w:val="00D762B2"/>
    <w:rsid w:val="00D81ED8"/>
    <w:rsid w:val="00D842AA"/>
    <w:rsid w:val="00D86D76"/>
    <w:rsid w:val="00D87130"/>
    <w:rsid w:val="00D93E0B"/>
    <w:rsid w:val="00DA6860"/>
    <w:rsid w:val="00DA7546"/>
    <w:rsid w:val="00DB1A98"/>
    <w:rsid w:val="00DB4E25"/>
    <w:rsid w:val="00DB6FBE"/>
    <w:rsid w:val="00DC47C0"/>
    <w:rsid w:val="00DC68BB"/>
    <w:rsid w:val="00DC6C77"/>
    <w:rsid w:val="00DD145E"/>
    <w:rsid w:val="00DD1480"/>
    <w:rsid w:val="00DD29E1"/>
    <w:rsid w:val="00DD334E"/>
    <w:rsid w:val="00DE02C4"/>
    <w:rsid w:val="00DF07E7"/>
    <w:rsid w:val="00DF164D"/>
    <w:rsid w:val="00DF1796"/>
    <w:rsid w:val="00DF270D"/>
    <w:rsid w:val="00DF3137"/>
    <w:rsid w:val="00DF3B28"/>
    <w:rsid w:val="00DF5606"/>
    <w:rsid w:val="00DF56EC"/>
    <w:rsid w:val="00E020F2"/>
    <w:rsid w:val="00E02FF2"/>
    <w:rsid w:val="00E12059"/>
    <w:rsid w:val="00E17555"/>
    <w:rsid w:val="00E204D2"/>
    <w:rsid w:val="00E25D21"/>
    <w:rsid w:val="00E2618F"/>
    <w:rsid w:val="00E31716"/>
    <w:rsid w:val="00E32B95"/>
    <w:rsid w:val="00E34551"/>
    <w:rsid w:val="00E34EAB"/>
    <w:rsid w:val="00E373B2"/>
    <w:rsid w:val="00E40036"/>
    <w:rsid w:val="00E41969"/>
    <w:rsid w:val="00E423B5"/>
    <w:rsid w:val="00E45000"/>
    <w:rsid w:val="00E451FD"/>
    <w:rsid w:val="00E4667F"/>
    <w:rsid w:val="00E50E93"/>
    <w:rsid w:val="00E52CE0"/>
    <w:rsid w:val="00E556EC"/>
    <w:rsid w:val="00E55B22"/>
    <w:rsid w:val="00E60D44"/>
    <w:rsid w:val="00E63EF8"/>
    <w:rsid w:val="00E64502"/>
    <w:rsid w:val="00E66570"/>
    <w:rsid w:val="00E66C98"/>
    <w:rsid w:val="00E72567"/>
    <w:rsid w:val="00E7672C"/>
    <w:rsid w:val="00E771D2"/>
    <w:rsid w:val="00E80EDB"/>
    <w:rsid w:val="00E84794"/>
    <w:rsid w:val="00E847DF"/>
    <w:rsid w:val="00E90013"/>
    <w:rsid w:val="00E928BB"/>
    <w:rsid w:val="00E93488"/>
    <w:rsid w:val="00EA0CCD"/>
    <w:rsid w:val="00EA28CA"/>
    <w:rsid w:val="00EA4444"/>
    <w:rsid w:val="00EA6A01"/>
    <w:rsid w:val="00EB0E23"/>
    <w:rsid w:val="00EB17AF"/>
    <w:rsid w:val="00EB4C04"/>
    <w:rsid w:val="00EB56F2"/>
    <w:rsid w:val="00EC08B2"/>
    <w:rsid w:val="00EC2B12"/>
    <w:rsid w:val="00EC4D59"/>
    <w:rsid w:val="00ED06A6"/>
    <w:rsid w:val="00ED2A64"/>
    <w:rsid w:val="00ED451D"/>
    <w:rsid w:val="00ED7C55"/>
    <w:rsid w:val="00EE2FDC"/>
    <w:rsid w:val="00F07C02"/>
    <w:rsid w:val="00F157C6"/>
    <w:rsid w:val="00F234BF"/>
    <w:rsid w:val="00F268B3"/>
    <w:rsid w:val="00F27014"/>
    <w:rsid w:val="00F31CCA"/>
    <w:rsid w:val="00F32BBA"/>
    <w:rsid w:val="00F43E0E"/>
    <w:rsid w:val="00F473F0"/>
    <w:rsid w:val="00F47540"/>
    <w:rsid w:val="00F50569"/>
    <w:rsid w:val="00F51139"/>
    <w:rsid w:val="00F52969"/>
    <w:rsid w:val="00F55F14"/>
    <w:rsid w:val="00F622ED"/>
    <w:rsid w:val="00F65EEA"/>
    <w:rsid w:val="00F776D3"/>
    <w:rsid w:val="00F84075"/>
    <w:rsid w:val="00F90537"/>
    <w:rsid w:val="00F91733"/>
    <w:rsid w:val="00F920DB"/>
    <w:rsid w:val="00F95209"/>
    <w:rsid w:val="00F964AD"/>
    <w:rsid w:val="00FB3956"/>
    <w:rsid w:val="00FC0F8B"/>
    <w:rsid w:val="00FC24AF"/>
    <w:rsid w:val="00FD53BA"/>
    <w:rsid w:val="00FD6B0E"/>
    <w:rsid w:val="00FD7E42"/>
    <w:rsid w:val="00FE1B77"/>
    <w:rsid w:val="00FE40D8"/>
    <w:rsid w:val="00FE7219"/>
    <w:rsid w:val="00FF0163"/>
    <w:rsid w:val="01137E06"/>
    <w:rsid w:val="01375C3E"/>
    <w:rsid w:val="0168244E"/>
    <w:rsid w:val="01954D8D"/>
    <w:rsid w:val="02C011BF"/>
    <w:rsid w:val="02E32A5D"/>
    <w:rsid w:val="035D5749"/>
    <w:rsid w:val="03A507DC"/>
    <w:rsid w:val="04C17862"/>
    <w:rsid w:val="04E41B77"/>
    <w:rsid w:val="057D13AE"/>
    <w:rsid w:val="063B0EDD"/>
    <w:rsid w:val="064116B8"/>
    <w:rsid w:val="064A667C"/>
    <w:rsid w:val="06B2613D"/>
    <w:rsid w:val="06B753E3"/>
    <w:rsid w:val="07321D04"/>
    <w:rsid w:val="08A51999"/>
    <w:rsid w:val="090041E8"/>
    <w:rsid w:val="09B849A4"/>
    <w:rsid w:val="09F160E3"/>
    <w:rsid w:val="0A9E0927"/>
    <w:rsid w:val="0AC64130"/>
    <w:rsid w:val="0B0E1A53"/>
    <w:rsid w:val="0B42525D"/>
    <w:rsid w:val="0BF11AD7"/>
    <w:rsid w:val="0C1F7DEE"/>
    <w:rsid w:val="0C88769D"/>
    <w:rsid w:val="0CDE660D"/>
    <w:rsid w:val="0D032A7C"/>
    <w:rsid w:val="0DAF662C"/>
    <w:rsid w:val="0DB77106"/>
    <w:rsid w:val="0DCE2D64"/>
    <w:rsid w:val="0E20128F"/>
    <w:rsid w:val="0E955A36"/>
    <w:rsid w:val="0F662138"/>
    <w:rsid w:val="0F9B0CE9"/>
    <w:rsid w:val="0FF35275"/>
    <w:rsid w:val="100732C8"/>
    <w:rsid w:val="10DA6205"/>
    <w:rsid w:val="10E86139"/>
    <w:rsid w:val="111441F0"/>
    <w:rsid w:val="113D3FD2"/>
    <w:rsid w:val="121F7D21"/>
    <w:rsid w:val="129B2E20"/>
    <w:rsid w:val="12AA5DF8"/>
    <w:rsid w:val="12C54559"/>
    <w:rsid w:val="12CB3DD7"/>
    <w:rsid w:val="132A04C1"/>
    <w:rsid w:val="1330029C"/>
    <w:rsid w:val="134E6356"/>
    <w:rsid w:val="13AE24B4"/>
    <w:rsid w:val="14D51A3C"/>
    <w:rsid w:val="15364A7C"/>
    <w:rsid w:val="15602ADB"/>
    <w:rsid w:val="15947E4C"/>
    <w:rsid w:val="15A2382D"/>
    <w:rsid w:val="15D52593"/>
    <w:rsid w:val="1626611D"/>
    <w:rsid w:val="16E2497F"/>
    <w:rsid w:val="17A736B0"/>
    <w:rsid w:val="18A2004D"/>
    <w:rsid w:val="18B034BC"/>
    <w:rsid w:val="19415809"/>
    <w:rsid w:val="197E6634"/>
    <w:rsid w:val="1B7329E7"/>
    <w:rsid w:val="1B8A2034"/>
    <w:rsid w:val="1BB46C31"/>
    <w:rsid w:val="1BC72FF7"/>
    <w:rsid w:val="1C161355"/>
    <w:rsid w:val="1CFF262F"/>
    <w:rsid w:val="1D03226A"/>
    <w:rsid w:val="1D5030CD"/>
    <w:rsid w:val="1D876087"/>
    <w:rsid w:val="1DF54295"/>
    <w:rsid w:val="1DFF64E4"/>
    <w:rsid w:val="1E313D4A"/>
    <w:rsid w:val="1ECB51CD"/>
    <w:rsid w:val="1F515CF1"/>
    <w:rsid w:val="1FBD6B68"/>
    <w:rsid w:val="1FDC1B35"/>
    <w:rsid w:val="1FDD0CDB"/>
    <w:rsid w:val="2056595D"/>
    <w:rsid w:val="207554B7"/>
    <w:rsid w:val="20AE4DE8"/>
    <w:rsid w:val="21194658"/>
    <w:rsid w:val="216834DE"/>
    <w:rsid w:val="21996AC1"/>
    <w:rsid w:val="219F3EE2"/>
    <w:rsid w:val="21F57098"/>
    <w:rsid w:val="22BA3902"/>
    <w:rsid w:val="22BB5089"/>
    <w:rsid w:val="22EF0361"/>
    <w:rsid w:val="233407F6"/>
    <w:rsid w:val="23D146B7"/>
    <w:rsid w:val="240817CF"/>
    <w:rsid w:val="24321B2E"/>
    <w:rsid w:val="244B21DE"/>
    <w:rsid w:val="245C7DFE"/>
    <w:rsid w:val="247F3074"/>
    <w:rsid w:val="24B82D9D"/>
    <w:rsid w:val="251328EC"/>
    <w:rsid w:val="254016F5"/>
    <w:rsid w:val="258A2E5C"/>
    <w:rsid w:val="25B924F3"/>
    <w:rsid w:val="25E06B30"/>
    <w:rsid w:val="268419CF"/>
    <w:rsid w:val="26AC2D80"/>
    <w:rsid w:val="26F95364"/>
    <w:rsid w:val="286F44E9"/>
    <w:rsid w:val="2916719E"/>
    <w:rsid w:val="293961B5"/>
    <w:rsid w:val="29A303B9"/>
    <w:rsid w:val="2AF03172"/>
    <w:rsid w:val="2B9C319C"/>
    <w:rsid w:val="2C1D776C"/>
    <w:rsid w:val="2C453820"/>
    <w:rsid w:val="2C527F9F"/>
    <w:rsid w:val="2C6C12B9"/>
    <w:rsid w:val="2CA93C52"/>
    <w:rsid w:val="2D912E3A"/>
    <w:rsid w:val="2DC02C2B"/>
    <w:rsid w:val="2DE440F7"/>
    <w:rsid w:val="2E6F25DB"/>
    <w:rsid w:val="2E805E2F"/>
    <w:rsid w:val="2F412AB7"/>
    <w:rsid w:val="2FA14A50"/>
    <w:rsid w:val="2FA70F17"/>
    <w:rsid w:val="30CB447B"/>
    <w:rsid w:val="3115573F"/>
    <w:rsid w:val="32951C0D"/>
    <w:rsid w:val="32F131F1"/>
    <w:rsid w:val="33CE5AF4"/>
    <w:rsid w:val="33D72F2D"/>
    <w:rsid w:val="340E7198"/>
    <w:rsid w:val="3442021E"/>
    <w:rsid w:val="34A75784"/>
    <w:rsid w:val="3581551C"/>
    <w:rsid w:val="35947F79"/>
    <w:rsid w:val="35D65FDD"/>
    <w:rsid w:val="35DB50B3"/>
    <w:rsid w:val="36C14F46"/>
    <w:rsid w:val="36C44D71"/>
    <w:rsid w:val="373F75CC"/>
    <w:rsid w:val="37C101D4"/>
    <w:rsid w:val="38F320AA"/>
    <w:rsid w:val="38FB27F3"/>
    <w:rsid w:val="39584559"/>
    <w:rsid w:val="399D40A5"/>
    <w:rsid w:val="39E5435C"/>
    <w:rsid w:val="3A2F6D68"/>
    <w:rsid w:val="3AC9385E"/>
    <w:rsid w:val="3B3306F0"/>
    <w:rsid w:val="3B563B4D"/>
    <w:rsid w:val="3C2825B0"/>
    <w:rsid w:val="3C2B26B7"/>
    <w:rsid w:val="3C881F02"/>
    <w:rsid w:val="3CB420C3"/>
    <w:rsid w:val="3D8B796D"/>
    <w:rsid w:val="3DA80A30"/>
    <w:rsid w:val="3E643221"/>
    <w:rsid w:val="3EA032CC"/>
    <w:rsid w:val="3EC32453"/>
    <w:rsid w:val="3ECC520D"/>
    <w:rsid w:val="3EE0186C"/>
    <w:rsid w:val="3EE43745"/>
    <w:rsid w:val="3EEE419C"/>
    <w:rsid w:val="3EFE09FD"/>
    <w:rsid w:val="3F032E01"/>
    <w:rsid w:val="3F2C758E"/>
    <w:rsid w:val="3F345DBE"/>
    <w:rsid w:val="40164730"/>
    <w:rsid w:val="40DD1666"/>
    <w:rsid w:val="40E44318"/>
    <w:rsid w:val="40F15753"/>
    <w:rsid w:val="41F950F8"/>
    <w:rsid w:val="428A4A5E"/>
    <w:rsid w:val="42EB3BA1"/>
    <w:rsid w:val="42F51780"/>
    <w:rsid w:val="43F11831"/>
    <w:rsid w:val="43F63E0D"/>
    <w:rsid w:val="44092E2E"/>
    <w:rsid w:val="441077D2"/>
    <w:rsid w:val="44396064"/>
    <w:rsid w:val="445F7588"/>
    <w:rsid w:val="458C38B3"/>
    <w:rsid w:val="459609D9"/>
    <w:rsid w:val="45A37566"/>
    <w:rsid w:val="45B634E5"/>
    <w:rsid w:val="45CF0A85"/>
    <w:rsid w:val="45F224BA"/>
    <w:rsid w:val="46020C32"/>
    <w:rsid w:val="46194A11"/>
    <w:rsid w:val="461E2AF1"/>
    <w:rsid w:val="47404F8E"/>
    <w:rsid w:val="47752ACA"/>
    <w:rsid w:val="477D75D8"/>
    <w:rsid w:val="47A71483"/>
    <w:rsid w:val="47C813F2"/>
    <w:rsid w:val="48352178"/>
    <w:rsid w:val="489B63EF"/>
    <w:rsid w:val="48D7317F"/>
    <w:rsid w:val="48F92B23"/>
    <w:rsid w:val="4953255E"/>
    <w:rsid w:val="49BF13F0"/>
    <w:rsid w:val="49C623EE"/>
    <w:rsid w:val="49D75468"/>
    <w:rsid w:val="49E169F0"/>
    <w:rsid w:val="4A1F6F8D"/>
    <w:rsid w:val="4A4A74EF"/>
    <w:rsid w:val="4A5C7364"/>
    <w:rsid w:val="4A6F6249"/>
    <w:rsid w:val="4AA77B51"/>
    <w:rsid w:val="4AB74C38"/>
    <w:rsid w:val="4B14426D"/>
    <w:rsid w:val="4B3320ED"/>
    <w:rsid w:val="4B6224E5"/>
    <w:rsid w:val="4B8C4A56"/>
    <w:rsid w:val="4BAB6225"/>
    <w:rsid w:val="4BF97936"/>
    <w:rsid w:val="4C2C4D07"/>
    <w:rsid w:val="4C457E30"/>
    <w:rsid w:val="4CAC2FB1"/>
    <w:rsid w:val="4D2A3925"/>
    <w:rsid w:val="4D597189"/>
    <w:rsid w:val="4DB20386"/>
    <w:rsid w:val="4DF02D90"/>
    <w:rsid w:val="4E665CB5"/>
    <w:rsid w:val="4EB84B21"/>
    <w:rsid w:val="4F271764"/>
    <w:rsid w:val="4F7D0512"/>
    <w:rsid w:val="4FAF4829"/>
    <w:rsid w:val="4FBA2B77"/>
    <w:rsid w:val="4FD46E6F"/>
    <w:rsid w:val="5005695E"/>
    <w:rsid w:val="50286811"/>
    <w:rsid w:val="50700F42"/>
    <w:rsid w:val="50B838CE"/>
    <w:rsid w:val="50ED1DE1"/>
    <w:rsid w:val="51266B84"/>
    <w:rsid w:val="51642661"/>
    <w:rsid w:val="5191036A"/>
    <w:rsid w:val="52465DB8"/>
    <w:rsid w:val="52940E89"/>
    <w:rsid w:val="529C26CA"/>
    <w:rsid w:val="538706F0"/>
    <w:rsid w:val="546B5509"/>
    <w:rsid w:val="548642E9"/>
    <w:rsid w:val="54A17941"/>
    <w:rsid w:val="54C12E33"/>
    <w:rsid w:val="55633225"/>
    <w:rsid w:val="556D6DC3"/>
    <w:rsid w:val="563B25E1"/>
    <w:rsid w:val="566A208A"/>
    <w:rsid w:val="56DD4D3A"/>
    <w:rsid w:val="57555A7B"/>
    <w:rsid w:val="5770382C"/>
    <w:rsid w:val="57846909"/>
    <w:rsid w:val="57A6753E"/>
    <w:rsid w:val="57CB522F"/>
    <w:rsid w:val="57F46FBE"/>
    <w:rsid w:val="58042686"/>
    <w:rsid w:val="58246D5D"/>
    <w:rsid w:val="58EC5960"/>
    <w:rsid w:val="58F05C44"/>
    <w:rsid w:val="58F400B4"/>
    <w:rsid w:val="59151C86"/>
    <w:rsid w:val="59732982"/>
    <w:rsid w:val="598F0769"/>
    <w:rsid w:val="59C52328"/>
    <w:rsid w:val="5A09613D"/>
    <w:rsid w:val="5AD37D8A"/>
    <w:rsid w:val="5AF87BF9"/>
    <w:rsid w:val="5B0F1B49"/>
    <w:rsid w:val="5B906095"/>
    <w:rsid w:val="5BC6560B"/>
    <w:rsid w:val="5BF60A75"/>
    <w:rsid w:val="5C813B75"/>
    <w:rsid w:val="5C8C1D8E"/>
    <w:rsid w:val="5C9F2D01"/>
    <w:rsid w:val="5D3F3466"/>
    <w:rsid w:val="5D5617A6"/>
    <w:rsid w:val="5D716329"/>
    <w:rsid w:val="5EA23F15"/>
    <w:rsid w:val="5EA7685B"/>
    <w:rsid w:val="5ED40954"/>
    <w:rsid w:val="5EFA4E95"/>
    <w:rsid w:val="5F0963C1"/>
    <w:rsid w:val="60BE22C5"/>
    <w:rsid w:val="612C30C5"/>
    <w:rsid w:val="619A2BBF"/>
    <w:rsid w:val="61DF02D0"/>
    <w:rsid w:val="61F12735"/>
    <w:rsid w:val="61FB37A1"/>
    <w:rsid w:val="62710E5F"/>
    <w:rsid w:val="62AD0966"/>
    <w:rsid w:val="63735B47"/>
    <w:rsid w:val="63FF1EA7"/>
    <w:rsid w:val="64201218"/>
    <w:rsid w:val="64C32497"/>
    <w:rsid w:val="669D0EEA"/>
    <w:rsid w:val="66B64FC1"/>
    <w:rsid w:val="66C861F9"/>
    <w:rsid w:val="66D04BBC"/>
    <w:rsid w:val="67204308"/>
    <w:rsid w:val="67655BF9"/>
    <w:rsid w:val="678C3343"/>
    <w:rsid w:val="67C6389B"/>
    <w:rsid w:val="685D4EEE"/>
    <w:rsid w:val="68AE1587"/>
    <w:rsid w:val="68CC4906"/>
    <w:rsid w:val="68D53E8D"/>
    <w:rsid w:val="69605268"/>
    <w:rsid w:val="699C76C5"/>
    <w:rsid w:val="6A194855"/>
    <w:rsid w:val="6A2F056E"/>
    <w:rsid w:val="6A7219A6"/>
    <w:rsid w:val="6B292599"/>
    <w:rsid w:val="6D847D4D"/>
    <w:rsid w:val="6D9172E5"/>
    <w:rsid w:val="6DF1703F"/>
    <w:rsid w:val="6E133456"/>
    <w:rsid w:val="6ECB7DD2"/>
    <w:rsid w:val="6F123DD8"/>
    <w:rsid w:val="6F1E315D"/>
    <w:rsid w:val="6F2A3FC1"/>
    <w:rsid w:val="6F79454F"/>
    <w:rsid w:val="6F9153AC"/>
    <w:rsid w:val="6FE61065"/>
    <w:rsid w:val="70521A25"/>
    <w:rsid w:val="70675779"/>
    <w:rsid w:val="708633A4"/>
    <w:rsid w:val="70C135EC"/>
    <w:rsid w:val="712C7DE8"/>
    <w:rsid w:val="713E0334"/>
    <w:rsid w:val="716F5E64"/>
    <w:rsid w:val="72417AFE"/>
    <w:rsid w:val="72585CB5"/>
    <w:rsid w:val="729B5F03"/>
    <w:rsid w:val="72D92B78"/>
    <w:rsid w:val="72F62A89"/>
    <w:rsid w:val="731B289D"/>
    <w:rsid w:val="736D22BA"/>
    <w:rsid w:val="737357AF"/>
    <w:rsid w:val="74163BE4"/>
    <w:rsid w:val="74A928A6"/>
    <w:rsid w:val="74E268CD"/>
    <w:rsid w:val="75161F9C"/>
    <w:rsid w:val="75281843"/>
    <w:rsid w:val="75292EAC"/>
    <w:rsid w:val="755A5FEF"/>
    <w:rsid w:val="75775016"/>
    <w:rsid w:val="758E0106"/>
    <w:rsid w:val="7626762C"/>
    <w:rsid w:val="763869A4"/>
    <w:rsid w:val="7667781E"/>
    <w:rsid w:val="76DD4C80"/>
    <w:rsid w:val="778F5135"/>
    <w:rsid w:val="77B53D6B"/>
    <w:rsid w:val="77D54B08"/>
    <w:rsid w:val="78431DDA"/>
    <w:rsid w:val="784F7772"/>
    <w:rsid w:val="785868AD"/>
    <w:rsid w:val="78713929"/>
    <w:rsid w:val="787E700E"/>
    <w:rsid w:val="78E55995"/>
    <w:rsid w:val="79267C0B"/>
    <w:rsid w:val="79310F0C"/>
    <w:rsid w:val="793F61E8"/>
    <w:rsid w:val="79C90FB7"/>
    <w:rsid w:val="7A25684F"/>
    <w:rsid w:val="7A2847FC"/>
    <w:rsid w:val="7A4975BA"/>
    <w:rsid w:val="7A5B105F"/>
    <w:rsid w:val="7A9E5DA7"/>
    <w:rsid w:val="7ABE4B56"/>
    <w:rsid w:val="7B264F79"/>
    <w:rsid w:val="7B3E5659"/>
    <w:rsid w:val="7B471C9D"/>
    <w:rsid w:val="7B4D21AB"/>
    <w:rsid w:val="7BCC4162"/>
    <w:rsid w:val="7C490DB7"/>
    <w:rsid w:val="7C7E37F7"/>
    <w:rsid w:val="7CD80967"/>
    <w:rsid w:val="7D0C2828"/>
    <w:rsid w:val="7D126DFD"/>
    <w:rsid w:val="7D902239"/>
    <w:rsid w:val="7EAF7817"/>
    <w:rsid w:val="7F4E30FB"/>
    <w:rsid w:val="7F78012E"/>
    <w:rsid w:val="7F7B591C"/>
    <w:rsid w:val="7FC51DE6"/>
    <w:rsid w:val="7FD644A7"/>
    <w:rsid w:val="7FE12C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iPriority="0" w:semiHidden="0" w:name="Table Grid"/>
    <w:lsdException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1"/>
      <w:lang w:val="en-US" w:eastAsia="zh-CN" w:bidi="ar-SA"/>
    </w:rPr>
  </w:style>
  <w:style w:type="paragraph" w:styleId="3">
    <w:name w:val="heading 1"/>
    <w:basedOn w:val="1"/>
    <w:next w:val="1"/>
    <w:link w:val="97"/>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03"/>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104"/>
    <w:semiHidden/>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105"/>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106"/>
    <w:semiHidden/>
    <w:unhideWhenUsed/>
    <w:qFormat/>
    <w:uiPriority w:val="0"/>
    <w:pPr>
      <w:keepNext/>
      <w:keepLines/>
      <w:spacing w:before="280" w:after="290" w:line="376" w:lineRule="auto"/>
      <w:outlineLvl w:val="4"/>
    </w:pPr>
    <w:rPr>
      <w:b/>
      <w:bCs/>
      <w:sz w:val="28"/>
      <w:szCs w:val="28"/>
    </w:rPr>
  </w:style>
  <w:style w:type="paragraph" w:styleId="8">
    <w:name w:val="heading 6"/>
    <w:basedOn w:val="1"/>
    <w:next w:val="1"/>
    <w:link w:val="107"/>
    <w:semiHidden/>
    <w:unhideWhenUsed/>
    <w:qFormat/>
    <w:uiPriority w:val="0"/>
    <w:pPr>
      <w:keepNext/>
      <w:keepLines/>
      <w:spacing w:before="240" w:after="64" w:line="320" w:lineRule="auto"/>
      <w:outlineLvl w:val="5"/>
    </w:pPr>
    <w:rPr>
      <w:rFonts w:asciiTheme="majorHAnsi" w:hAnsiTheme="majorHAnsi" w:eastAsiaTheme="majorEastAsia" w:cstheme="majorBidi"/>
      <w:b/>
      <w:bCs/>
      <w:sz w:val="24"/>
      <w:szCs w:val="24"/>
    </w:rPr>
  </w:style>
  <w:style w:type="paragraph" w:styleId="9">
    <w:name w:val="heading 7"/>
    <w:basedOn w:val="1"/>
    <w:next w:val="1"/>
    <w:link w:val="108"/>
    <w:semiHidden/>
    <w:unhideWhenUsed/>
    <w:qFormat/>
    <w:uiPriority w:val="0"/>
    <w:pPr>
      <w:keepNext/>
      <w:keepLines/>
      <w:spacing w:before="240" w:after="64" w:line="320" w:lineRule="auto"/>
      <w:outlineLvl w:val="6"/>
    </w:pPr>
    <w:rPr>
      <w:b/>
      <w:bCs/>
      <w:sz w:val="24"/>
      <w:szCs w:val="24"/>
    </w:rPr>
  </w:style>
  <w:style w:type="paragraph" w:styleId="10">
    <w:name w:val="heading 8"/>
    <w:basedOn w:val="1"/>
    <w:next w:val="1"/>
    <w:link w:val="109"/>
    <w:semiHidden/>
    <w:unhideWhenUsed/>
    <w:qFormat/>
    <w:uiPriority w:val="0"/>
    <w:pPr>
      <w:keepNext/>
      <w:keepLines/>
      <w:spacing w:before="240" w:after="64" w:line="320" w:lineRule="auto"/>
      <w:outlineLvl w:val="7"/>
    </w:pPr>
    <w:rPr>
      <w:rFonts w:asciiTheme="majorHAnsi" w:hAnsiTheme="majorHAnsi" w:eastAsiaTheme="majorEastAsia" w:cstheme="majorBidi"/>
      <w:sz w:val="24"/>
      <w:szCs w:val="24"/>
    </w:rPr>
  </w:style>
  <w:style w:type="paragraph" w:styleId="11">
    <w:name w:val="heading 9"/>
    <w:basedOn w:val="1"/>
    <w:next w:val="1"/>
    <w:link w:val="110"/>
    <w:semiHidden/>
    <w:unhideWhenUsed/>
    <w:qFormat/>
    <w:uiPriority w:val="0"/>
    <w:pPr>
      <w:keepNext/>
      <w:keepLines/>
      <w:spacing w:before="240" w:after="64" w:line="320" w:lineRule="auto"/>
      <w:outlineLvl w:val="8"/>
    </w:pPr>
    <w:rPr>
      <w:rFonts w:asciiTheme="majorHAnsi" w:hAnsiTheme="majorHAnsi" w:eastAsiaTheme="majorEastAsia" w:cstheme="majorBidi"/>
    </w:rPr>
  </w:style>
  <w:style w:type="character" w:default="1" w:styleId="90">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macro"/>
    <w:link w:val="115"/>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qFormat/>
    <w:uiPriority w:val="0"/>
    <w:pPr>
      <w:ind w:left="100" w:leftChars="400" w:hanging="200" w:hangingChars="200"/>
      <w:contextualSpacing/>
    </w:pPr>
  </w:style>
  <w:style w:type="paragraph" w:styleId="13">
    <w:name w:val="toc 7"/>
    <w:basedOn w:val="1"/>
    <w:next w:val="1"/>
    <w:qFormat/>
    <w:uiPriority w:val="0"/>
    <w:pPr>
      <w:ind w:left="2520" w:leftChars="1200"/>
    </w:pPr>
  </w:style>
  <w:style w:type="paragraph" w:styleId="14">
    <w:name w:val="List Number 2"/>
    <w:basedOn w:val="1"/>
    <w:qFormat/>
    <w:uiPriority w:val="0"/>
    <w:pPr>
      <w:numPr>
        <w:ilvl w:val="0"/>
        <w:numId w:val="1"/>
      </w:numPr>
      <w:contextualSpacing/>
    </w:pPr>
  </w:style>
  <w:style w:type="paragraph" w:styleId="15">
    <w:name w:val="table of authorities"/>
    <w:basedOn w:val="1"/>
    <w:next w:val="1"/>
    <w:qFormat/>
    <w:uiPriority w:val="0"/>
    <w:pPr>
      <w:ind w:left="420" w:leftChars="200"/>
    </w:pPr>
  </w:style>
  <w:style w:type="paragraph" w:styleId="16">
    <w:name w:val="Note Heading"/>
    <w:basedOn w:val="1"/>
    <w:next w:val="1"/>
    <w:link w:val="140"/>
    <w:qFormat/>
    <w:uiPriority w:val="0"/>
    <w:pPr>
      <w:jc w:val="center"/>
    </w:pPr>
  </w:style>
  <w:style w:type="paragraph" w:styleId="17">
    <w:name w:val="List Bullet 4"/>
    <w:basedOn w:val="1"/>
    <w:qFormat/>
    <w:uiPriority w:val="0"/>
    <w:pPr>
      <w:numPr>
        <w:ilvl w:val="0"/>
        <w:numId w:val="2"/>
      </w:numPr>
      <w:contextualSpacing/>
    </w:pPr>
  </w:style>
  <w:style w:type="paragraph" w:styleId="18">
    <w:name w:val="index 8"/>
    <w:basedOn w:val="1"/>
    <w:next w:val="1"/>
    <w:qFormat/>
    <w:uiPriority w:val="0"/>
    <w:pPr>
      <w:ind w:left="1400" w:leftChars="1400"/>
    </w:pPr>
  </w:style>
  <w:style w:type="paragraph" w:styleId="19">
    <w:name w:val="E-mail Signature"/>
    <w:basedOn w:val="1"/>
    <w:link w:val="113"/>
    <w:qFormat/>
    <w:uiPriority w:val="0"/>
  </w:style>
  <w:style w:type="paragraph" w:styleId="20">
    <w:name w:val="List Number"/>
    <w:basedOn w:val="1"/>
    <w:qFormat/>
    <w:uiPriority w:val="0"/>
    <w:pPr>
      <w:numPr>
        <w:ilvl w:val="0"/>
        <w:numId w:val="3"/>
      </w:numPr>
      <w:contextualSpacing/>
    </w:pPr>
  </w:style>
  <w:style w:type="paragraph" w:styleId="21">
    <w:name w:val="Normal Indent"/>
    <w:basedOn w:val="1"/>
    <w:qFormat/>
    <w:uiPriority w:val="0"/>
    <w:pPr>
      <w:ind w:firstLine="420" w:firstLineChars="200"/>
    </w:pPr>
  </w:style>
  <w:style w:type="paragraph" w:styleId="22">
    <w:name w:val="caption"/>
    <w:basedOn w:val="1"/>
    <w:next w:val="1"/>
    <w:semiHidden/>
    <w:unhideWhenUsed/>
    <w:qFormat/>
    <w:uiPriority w:val="0"/>
    <w:rPr>
      <w:rFonts w:eastAsia="黑体" w:asciiTheme="majorHAnsi" w:hAnsiTheme="majorHAnsi" w:cstheme="majorBidi"/>
      <w:sz w:val="20"/>
      <w:szCs w:val="20"/>
    </w:rPr>
  </w:style>
  <w:style w:type="paragraph" w:styleId="23">
    <w:name w:val="index 5"/>
    <w:basedOn w:val="1"/>
    <w:next w:val="1"/>
    <w:qFormat/>
    <w:uiPriority w:val="0"/>
    <w:pPr>
      <w:ind w:left="800" w:leftChars="800"/>
    </w:pPr>
  </w:style>
  <w:style w:type="paragraph" w:styleId="24">
    <w:name w:val="List Bullet"/>
    <w:basedOn w:val="1"/>
    <w:qFormat/>
    <w:uiPriority w:val="0"/>
    <w:pPr>
      <w:numPr>
        <w:ilvl w:val="0"/>
        <w:numId w:val="4"/>
      </w:numPr>
      <w:contextualSpacing/>
    </w:pPr>
  </w:style>
  <w:style w:type="paragraph" w:styleId="25">
    <w:name w:val="envelope address"/>
    <w:basedOn w:val="1"/>
    <w:qFormat/>
    <w:uiPriority w:val="0"/>
    <w:pPr>
      <w:framePr w:w="7920" w:h="1980" w:hRule="exact" w:hSpace="180" w:wrap="auto" w:vAnchor="margin" w:hAnchor="page" w:xAlign="center" w:yAlign="bottom"/>
      <w:snapToGrid w:val="0"/>
      <w:ind w:left="100" w:leftChars="1400"/>
    </w:pPr>
    <w:rPr>
      <w:rFonts w:asciiTheme="majorHAnsi" w:hAnsiTheme="majorHAnsi" w:eastAsiaTheme="majorEastAsia" w:cstheme="majorBidi"/>
      <w:sz w:val="24"/>
      <w:szCs w:val="24"/>
    </w:rPr>
  </w:style>
  <w:style w:type="paragraph" w:styleId="26">
    <w:name w:val="Document Map"/>
    <w:basedOn w:val="1"/>
    <w:link w:val="127"/>
    <w:qFormat/>
    <w:uiPriority w:val="0"/>
    <w:rPr>
      <w:rFonts w:ascii="Microsoft YaHei UI" w:eastAsia="Microsoft YaHei UI"/>
      <w:sz w:val="18"/>
      <w:szCs w:val="18"/>
    </w:rPr>
  </w:style>
  <w:style w:type="paragraph" w:styleId="27">
    <w:name w:val="toa heading"/>
    <w:basedOn w:val="1"/>
    <w:next w:val="1"/>
    <w:qFormat/>
    <w:uiPriority w:val="0"/>
    <w:pPr>
      <w:spacing w:before="120"/>
    </w:pPr>
    <w:rPr>
      <w:rFonts w:asciiTheme="majorHAnsi" w:hAnsiTheme="majorHAnsi" w:eastAsiaTheme="majorEastAsia" w:cstheme="majorBidi"/>
      <w:sz w:val="24"/>
      <w:szCs w:val="24"/>
    </w:rPr>
  </w:style>
  <w:style w:type="paragraph" w:styleId="28">
    <w:name w:val="annotation text"/>
    <w:basedOn w:val="1"/>
    <w:link w:val="121"/>
    <w:qFormat/>
    <w:uiPriority w:val="0"/>
    <w:pPr>
      <w:jc w:val="left"/>
    </w:pPr>
  </w:style>
  <w:style w:type="paragraph" w:styleId="29">
    <w:name w:val="index 6"/>
    <w:basedOn w:val="1"/>
    <w:next w:val="1"/>
    <w:qFormat/>
    <w:uiPriority w:val="0"/>
    <w:pPr>
      <w:ind w:left="1000" w:leftChars="1000"/>
    </w:pPr>
  </w:style>
  <w:style w:type="paragraph" w:styleId="30">
    <w:name w:val="Salutation"/>
    <w:basedOn w:val="1"/>
    <w:next w:val="1"/>
    <w:link w:val="111"/>
    <w:qFormat/>
    <w:uiPriority w:val="0"/>
  </w:style>
  <w:style w:type="paragraph" w:styleId="31">
    <w:name w:val="Body Text 3"/>
    <w:basedOn w:val="1"/>
    <w:link w:val="137"/>
    <w:qFormat/>
    <w:uiPriority w:val="0"/>
    <w:pPr>
      <w:spacing w:after="120"/>
    </w:pPr>
    <w:rPr>
      <w:sz w:val="16"/>
      <w:szCs w:val="16"/>
    </w:rPr>
  </w:style>
  <w:style w:type="paragraph" w:styleId="32">
    <w:name w:val="Closing"/>
    <w:basedOn w:val="1"/>
    <w:link w:val="117"/>
    <w:qFormat/>
    <w:uiPriority w:val="0"/>
    <w:pPr>
      <w:ind w:left="100" w:leftChars="2100"/>
    </w:pPr>
  </w:style>
  <w:style w:type="paragraph" w:styleId="33">
    <w:name w:val="List Bullet 3"/>
    <w:basedOn w:val="1"/>
    <w:qFormat/>
    <w:uiPriority w:val="0"/>
    <w:pPr>
      <w:numPr>
        <w:ilvl w:val="0"/>
        <w:numId w:val="5"/>
      </w:numPr>
      <w:contextualSpacing/>
    </w:pPr>
  </w:style>
  <w:style w:type="paragraph" w:styleId="34">
    <w:name w:val="Body Text"/>
    <w:basedOn w:val="1"/>
    <w:link w:val="132"/>
    <w:qFormat/>
    <w:uiPriority w:val="0"/>
    <w:pPr>
      <w:spacing w:after="120"/>
    </w:pPr>
  </w:style>
  <w:style w:type="paragraph" w:styleId="35">
    <w:name w:val="Body Text Indent"/>
    <w:basedOn w:val="1"/>
    <w:link w:val="134"/>
    <w:qFormat/>
    <w:uiPriority w:val="0"/>
    <w:pPr>
      <w:spacing w:after="120"/>
      <w:ind w:left="420" w:leftChars="200"/>
    </w:pPr>
  </w:style>
  <w:style w:type="paragraph" w:styleId="36">
    <w:name w:val="List Number 3"/>
    <w:basedOn w:val="1"/>
    <w:qFormat/>
    <w:uiPriority w:val="0"/>
    <w:pPr>
      <w:numPr>
        <w:ilvl w:val="0"/>
        <w:numId w:val="6"/>
      </w:numPr>
      <w:contextualSpacing/>
    </w:pPr>
  </w:style>
  <w:style w:type="paragraph" w:styleId="37">
    <w:name w:val="List 2"/>
    <w:basedOn w:val="1"/>
    <w:qFormat/>
    <w:uiPriority w:val="0"/>
    <w:pPr>
      <w:ind w:left="100" w:leftChars="200" w:hanging="200" w:hangingChars="200"/>
      <w:contextualSpacing/>
    </w:pPr>
  </w:style>
  <w:style w:type="paragraph" w:styleId="38">
    <w:name w:val="List Continue"/>
    <w:basedOn w:val="1"/>
    <w:qFormat/>
    <w:uiPriority w:val="0"/>
    <w:pPr>
      <w:spacing w:after="120"/>
      <w:ind w:left="420" w:leftChars="200"/>
      <w:contextualSpacing/>
    </w:pPr>
  </w:style>
  <w:style w:type="paragraph" w:styleId="39">
    <w:name w:val="Block Text"/>
    <w:basedOn w:val="1"/>
    <w:qFormat/>
    <w:uiPriority w:val="0"/>
    <w:pPr>
      <w:spacing w:after="120"/>
      <w:ind w:left="1440" w:leftChars="700" w:right="1440" w:rightChars="700"/>
    </w:pPr>
  </w:style>
  <w:style w:type="paragraph" w:styleId="40">
    <w:name w:val="List Bullet 2"/>
    <w:basedOn w:val="1"/>
    <w:qFormat/>
    <w:uiPriority w:val="0"/>
    <w:pPr>
      <w:numPr>
        <w:ilvl w:val="0"/>
        <w:numId w:val="7"/>
      </w:numPr>
      <w:contextualSpacing/>
    </w:pPr>
  </w:style>
  <w:style w:type="paragraph" w:styleId="41">
    <w:name w:val="HTML Address"/>
    <w:basedOn w:val="1"/>
    <w:link w:val="99"/>
    <w:qFormat/>
    <w:uiPriority w:val="0"/>
    <w:rPr>
      <w:i/>
      <w:iCs/>
    </w:rPr>
  </w:style>
  <w:style w:type="paragraph" w:styleId="42">
    <w:name w:val="index 4"/>
    <w:basedOn w:val="1"/>
    <w:next w:val="1"/>
    <w:qFormat/>
    <w:uiPriority w:val="0"/>
    <w:pPr>
      <w:ind w:left="600" w:leftChars="600"/>
    </w:pPr>
  </w:style>
  <w:style w:type="paragraph" w:styleId="43">
    <w:name w:val="toc 5"/>
    <w:basedOn w:val="1"/>
    <w:next w:val="1"/>
    <w:qFormat/>
    <w:uiPriority w:val="0"/>
    <w:pPr>
      <w:ind w:left="1680" w:leftChars="800"/>
    </w:pPr>
  </w:style>
  <w:style w:type="paragraph" w:styleId="44">
    <w:name w:val="toc 3"/>
    <w:basedOn w:val="1"/>
    <w:next w:val="1"/>
    <w:qFormat/>
    <w:uiPriority w:val="0"/>
    <w:pPr>
      <w:ind w:left="840" w:leftChars="400"/>
    </w:pPr>
  </w:style>
  <w:style w:type="paragraph" w:styleId="45">
    <w:name w:val="Plain Text"/>
    <w:basedOn w:val="1"/>
    <w:link w:val="112"/>
    <w:qFormat/>
    <w:uiPriority w:val="0"/>
    <w:rPr>
      <w:rFonts w:hAnsi="Courier New" w:cs="Courier New" w:asciiTheme="minorEastAsia" w:eastAsiaTheme="minorEastAsia"/>
    </w:rPr>
  </w:style>
  <w:style w:type="paragraph" w:styleId="46">
    <w:name w:val="List Bullet 5"/>
    <w:basedOn w:val="1"/>
    <w:qFormat/>
    <w:uiPriority w:val="0"/>
    <w:pPr>
      <w:numPr>
        <w:ilvl w:val="0"/>
        <w:numId w:val="8"/>
      </w:numPr>
      <w:contextualSpacing/>
    </w:pPr>
  </w:style>
  <w:style w:type="paragraph" w:styleId="47">
    <w:name w:val="List Number 4"/>
    <w:basedOn w:val="1"/>
    <w:qFormat/>
    <w:uiPriority w:val="0"/>
    <w:pPr>
      <w:numPr>
        <w:ilvl w:val="0"/>
        <w:numId w:val="9"/>
      </w:numPr>
      <w:contextualSpacing/>
    </w:pPr>
  </w:style>
  <w:style w:type="paragraph" w:styleId="48">
    <w:name w:val="toc 8"/>
    <w:basedOn w:val="1"/>
    <w:next w:val="1"/>
    <w:qFormat/>
    <w:uiPriority w:val="0"/>
    <w:pPr>
      <w:ind w:left="2940" w:leftChars="1400"/>
    </w:pPr>
  </w:style>
  <w:style w:type="paragraph" w:styleId="49">
    <w:name w:val="index 3"/>
    <w:basedOn w:val="1"/>
    <w:next w:val="1"/>
    <w:qFormat/>
    <w:uiPriority w:val="0"/>
    <w:pPr>
      <w:ind w:left="400" w:leftChars="400"/>
    </w:pPr>
  </w:style>
  <w:style w:type="paragraph" w:styleId="50">
    <w:name w:val="Date"/>
    <w:basedOn w:val="1"/>
    <w:next w:val="1"/>
    <w:link w:val="124"/>
    <w:qFormat/>
    <w:uiPriority w:val="0"/>
    <w:pPr>
      <w:ind w:left="100" w:leftChars="2500"/>
    </w:pPr>
  </w:style>
  <w:style w:type="paragraph" w:styleId="51">
    <w:name w:val="Body Text Indent 2"/>
    <w:basedOn w:val="1"/>
    <w:link w:val="138"/>
    <w:qFormat/>
    <w:uiPriority w:val="0"/>
    <w:pPr>
      <w:spacing w:after="120" w:line="480" w:lineRule="auto"/>
      <w:ind w:left="420" w:leftChars="200"/>
    </w:pPr>
  </w:style>
  <w:style w:type="paragraph" w:styleId="52">
    <w:name w:val="endnote text"/>
    <w:basedOn w:val="1"/>
    <w:link w:val="126"/>
    <w:qFormat/>
    <w:uiPriority w:val="0"/>
    <w:pPr>
      <w:snapToGrid w:val="0"/>
      <w:jc w:val="left"/>
    </w:pPr>
  </w:style>
  <w:style w:type="paragraph" w:styleId="53">
    <w:name w:val="List Continue 5"/>
    <w:basedOn w:val="1"/>
    <w:qFormat/>
    <w:uiPriority w:val="0"/>
    <w:pPr>
      <w:spacing w:after="120"/>
      <w:ind w:left="2100" w:leftChars="1000"/>
      <w:contextualSpacing/>
    </w:pPr>
  </w:style>
  <w:style w:type="paragraph" w:styleId="54">
    <w:name w:val="Balloon Text"/>
    <w:basedOn w:val="1"/>
    <w:link w:val="120"/>
    <w:semiHidden/>
    <w:unhideWhenUsed/>
    <w:qFormat/>
    <w:uiPriority w:val="0"/>
    <w:rPr>
      <w:sz w:val="18"/>
      <w:szCs w:val="18"/>
    </w:rPr>
  </w:style>
  <w:style w:type="paragraph" w:styleId="55">
    <w:name w:val="footer"/>
    <w:basedOn w:val="1"/>
    <w:qFormat/>
    <w:uiPriority w:val="0"/>
    <w:pPr>
      <w:tabs>
        <w:tab w:val="center" w:pos="4153"/>
        <w:tab w:val="right" w:pos="8306"/>
      </w:tabs>
      <w:snapToGrid w:val="0"/>
      <w:jc w:val="left"/>
    </w:pPr>
    <w:rPr>
      <w:sz w:val="18"/>
    </w:rPr>
  </w:style>
  <w:style w:type="paragraph" w:styleId="56">
    <w:name w:val="envelope return"/>
    <w:basedOn w:val="1"/>
    <w:qFormat/>
    <w:uiPriority w:val="0"/>
    <w:pPr>
      <w:snapToGrid w:val="0"/>
    </w:pPr>
    <w:rPr>
      <w:rFonts w:asciiTheme="majorHAnsi" w:hAnsiTheme="majorHAnsi" w:eastAsiaTheme="majorEastAsia" w:cstheme="majorBidi"/>
    </w:rPr>
  </w:style>
  <w:style w:type="paragraph" w:styleId="5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8">
    <w:name w:val="Signature"/>
    <w:basedOn w:val="1"/>
    <w:link w:val="123"/>
    <w:qFormat/>
    <w:uiPriority w:val="0"/>
    <w:pPr>
      <w:ind w:left="100" w:leftChars="2100"/>
    </w:pPr>
  </w:style>
  <w:style w:type="paragraph" w:styleId="59">
    <w:name w:val="toc 1"/>
    <w:basedOn w:val="1"/>
    <w:next w:val="1"/>
    <w:qFormat/>
    <w:uiPriority w:val="39"/>
  </w:style>
  <w:style w:type="paragraph" w:styleId="60">
    <w:name w:val="List Continue 4"/>
    <w:basedOn w:val="1"/>
    <w:qFormat/>
    <w:uiPriority w:val="0"/>
    <w:pPr>
      <w:spacing w:after="120"/>
      <w:ind w:left="1680" w:leftChars="800"/>
      <w:contextualSpacing/>
    </w:pPr>
  </w:style>
  <w:style w:type="paragraph" w:styleId="61">
    <w:name w:val="toc 4"/>
    <w:basedOn w:val="1"/>
    <w:next w:val="1"/>
    <w:qFormat/>
    <w:uiPriority w:val="0"/>
    <w:pPr>
      <w:ind w:left="1260" w:leftChars="600"/>
    </w:pPr>
  </w:style>
  <w:style w:type="paragraph" w:styleId="62">
    <w:name w:val="index heading"/>
    <w:basedOn w:val="1"/>
    <w:next w:val="63"/>
    <w:qFormat/>
    <w:uiPriority w:val="0"/>
    <w:rPr>
      <w:rFonts w:asciiTheme="majorHAnsi" w:hAnsiTheme="majorHAnsi" w:eastAsiaTheme="majorEastAsia" w:cstheme="majorBidi"/>
      <w:b/>
      <w:bCs/>
    </w:rPr>
  </w:style>
  <w:style w:type="paragraph" w:styleId="63">
    <w:name w:val="index 1"/>
    <w:basedOn w:val="1"/>
    <w:next w:val="1"/>
    <w:qFormat/>
    <w:uiPriority w:val="0"/>
  </w:style>
  <w:style w:type="paragraph" w:styleId="64">
    <w:name w:val="Subtitle"/>
    <w:basedOn w:val="1"/>
    <w:next w:val="1"/>
    <w:link w:val="114"/>
    <w:qFormat/>
    <w:uiPriority w:val="0"/>
    <w:pPr>
      <w:spacing w:before="240" w:after="60" w:line="312" w:lineRule="auto"/>
      <w:jc w:val="center"/>
      <w:outlineLvl w:val="1"/>
    </w:pPr>
    <w:rPr>
      <w:rFonts w:eastAsiaTheme="minorEastAsia"/>
      <w:b/>
      <w:bCs/>
      <w:kern w:val="28"/>
      <w:sz w:val="32"/>
      <w:szCs w:val="32"/>
    </w:rPr>
  </w:style>
  <w:style w:type="paragraph" w:styleId="65">
    <w:name w:val="List Number 5"/>
    <w:basedOn w:val="1"/>
    <w:qFormat/>
    <w:uiPriority w:val="0"/>
    <w:pPr>
      <w:numPr>
        <w:ilvl w:val="0"/>
        <w:numId w:val="10"/>
      </w:numPr>
      <w:contextualSpacing/>
    </w:pPr>
  </w:style>
  <w:style w:type="paragraph" w:styleId="66">
    <w:name w:val="List"/>
    <w:basedOn w:val="1"/>
    <w:qFormat/>
    <w:uiPriority w:val="0"/>
    <w:pPr>
      <w:ind w:left="200" w:hanging="200" w:hangingChars="200"/>
      <w:contextualSpacing/>
    </w:pPr>
  </w:style>
  <w:style w:type="paragraph" w:styleId="67">
    <w:name w:val="footnote text"/>
    <w:basedOn w:val="1"/>
    <w:link w:val="116"/>
    <w:qFormat/>
    <w:uiPriority w:val="0"/>
    <w:pPr>
      <w:snapToGrid w:val="0"/>
      <w:jc w:val="left"/>
    </w:pPr>
    <w:rPr>
      <w:sz w:val="18"/>
      <w:szCs w:val="18"/>
    </w:rPr>
  </w:style>
  <w:style w:type="paragraph" w:styleId="68">
    <w:name w:val="toc 6"/>
    <w:basedOn w:val="1"/>
    <w:next w:val="1"/>
    <w:qFormat/>
    <w:uiPriority w:val="0"/>
    <w:pPr>
      <w:ind w:left="2100" w:leftChars="1000"/>
    </w:pPr>
  </w:style>
  <w:style w:type="paragraph" w:styleId="69">
    <w:name w:val="List 5"/>
    <w:basedOn w:val="1"/>
    <w:qFormat/>
    <w:uiPriority w:val="0"/>
    <w:pPr>
      <w:ind w:left="100" w:leftChars="800" w:hanging="200" w:hangingChars="200"/>
      <w:contextualSpacing/>
    </w:pPr>
  </w:style>
  <w:style w:type="paragraph" w:styleId="70">
    <w:name w:val="Body Text Indent 3"/>
    <w:basedOn w:val="1"/>
    <w:link w:val="139"/>
    <w:qFormat/>
    <w:uiPriority w:val="0"/>
    <w:pPr>
      <w:spacing w:after="120"/>
      <w:ind w:left="420" w:leftChars="200"/>
    </w:pPr>
    <w:rPr>
      <w:sz w:val="16"/>
      <w:szCs w:val="16"/>
    </w:rPr>
  </w:style>
  <w:style w:type="paragraph" w:styleId="71">
    <w:name w:val="index 7"/>
    <w:basedOn w:val="1"/>
    <w:next w:val="1"/>
    <w:qFormat/>
    <w:uiPriority w:val="0"/>
    <w:pPr>
      <w:ind w:left="1200" w:leftChars="1200"/>
    </w:pPr>
  </w:style>
  <w:style w:type="paragraph" w:styleId="72">
    <w:name w:val="index 9"/>
    <w:basedOn w:val="1"/>
    <w:next w:val="1"/>
    <w:qFormat/>
    <w:uiPriority w:val="0"/>
    <w:pPr>
      <w:ind w:left="1600" w:leftChars="1600"/>
    </w:pPr>
  </w:style>
  <w:style w:type="paragraph" w:styleId="73">
    <w:name w:val="table of figures"/>
    <w:basedOn w:val="1"/>
    <w:next w:val="1"/>
    <w:qFormat/>
    <w:uiPriority w:val="0"/>
    <w:pPr>
      <w:ind w:left="200" w:leftChars="200" w:hanging="200" w:hangingChars="200"/>
    </w:pPr>
  </w:style>
  <w:style w:type="paragraph" w:styleId="74">
    <w:name w:val="toc 2"/>
    <w:basedOn w:val="1"/>
    <w:next w:val="1"/>
    <w:qFormat/>
    <w:uiPriority w:val="39"/>
    <w:pPr>
      <w:ind w:left="420" w:leftChars="200"/>
    </w:pPr>
  </w:style>
  <w:style w:type="paragraph" w:styleId="75">
    <w:name w:val="toc 9"/>
    <w:basedOn w:val="1"/>
    <w:next w:val="1"/>
    <w:qFormat/>
    <w:uiPriority w:val="0"/>
    <w:pPr>
      <w:ind w:left="3360" w:leftChars="1600"/>
    </w:pPr>
  </w:style>
  <w:style w:type="paragraph" w:styleId="76">
    <w:name w:val="Body Text 2"/>
    <w:basedOn w:val="1"/>
    <w:link w:val="136"/>
    <w:qFormat/>
    <w:uiPriority w:val="0"/>
    <w:pPr>
      <w:spacing w:after="120" w:line="480" w:lineRule="auto"/>
    </w:pPr>
  </w:style>
  <w:style w:type="paragraph" w:styleId="77">
    <w:name w:val="List 4"/>
    <w:basedOn w:val="1"/>
    <w:qFormat/>
    <w:uiPriority w:val="0"/>
    <w:pPr>
      <w:ind w:left="100" w:leftChars="600" w:hanging="200" w:hangingChars="200"/>
      <w:contextualSpacing/>
    </w:pPr>
  </w:style>
  <w:style w:type="paragraph" w:styleId="78">
    <w:name w:val="List Continue 2"/>
    <w:basedOn w:val="1"/>
    <w:qFormat/>
    <w:uiPriority w:val="0"/>
    <w:pPr>
      <w:spacing w:after="120"/>
      <w:ind w:left="840" w:leftChars="400"/>
      <w:contextualSpacing/>
    </w:pPr>
  </w:style>
  <w:style w:type="paragraph" w:styleId="79">
    <w:name w:val="Message Header"/>
    <w:basedOn w:val="1"/>
    <w:link w:val="129"/>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szCs w:val="24"/>
    </w:rPr>
  </w:style>
  <w:style w:type="paragraph" w:styleId="80">
    <w:name w:val="HTML Preformatted"/>
    <w:basedOn w:val="1"/>
    <w:link w:val="100"/>
    <w:qFormat/>
    <w:uiPriority w:val="0"/>
    <w:rPr>
      <w:rFonts w:ascii="Courier New" w:hAnsi="Courier New" w:cs="Courier New"/>
      <w:sz w:val="20"/>
      <w:szCs w:val="20"/>
    </w:rPr>
  </w:style>
  <w:style w:type="paragraph" w:styleId="81">
    <w:name w:val="Normal (Web)"/>
    <w:basedOn w:val="1"/>
    <w:qFormat/>
    <w:uiPriority w:val="0"/>
    <w:rPr>
      <w:rFonts w:ascii="Times New Roman" w:hAnsi="Times New Roman" w:cs="Times New Roman"/>
      <w:sz w:val="24"/>
      <w:szCs w:val="24"/>
    </w:rPr>
  </w:style>
  <w:style w:type="paragraph" w:styleId="82">
    <w:name w:val="List Continue 3"/>
    <w:basedOn w:val="1"/>
    <w:qFormat/>
    <w:uiPriority w:val="0"/>
    <w:pPr>
      <w:spacing w:after="120"/>
      <w:ind w:left="1260" w:leftChars="600"/>
      <w:contextualSpacing/>
    </w:pPr>
  </w:style>
  <w:style w:type="paragraph" w:styleId="83">
    <w:name w:val="index 2"/>
    <w:basedOn w:val="1"/>
    <w:next w:val="1"/>
    <w:qFormat/>
    <w:uiPriority w:val="0"/>
    <w:pPr>
      <w:ind w:left="200" w:leftChars="200"/>
    </w:pPr>
  </w:style>
  <w:style w:type="paragraph" w:styleId="84">
    <w:name w:val="Title"/>
    <w:basedOn w:val="1"/>
    <w:next w:val="1"/>
    <w:link w:val="102"/>
    <w:qFormat/>
    <w:uiPriority w:val="0"/>
    <w:pPr>
      <w:spacing w:before="240" w:after="60"/>
      <w:jc w:val="center"/>
      <w:outlineLvl w:val="0"/>
    </w:pPr>
    <w:rPr>
      <w:rFonts w:asciiTheme="majorHAnsi" w:hAnsiTheme="majorHAnsi" w:eastAsiaTheme="majorEastAsia" w:cstheme="majorBidi"/>
      <w:b/>
      <w:bCs/>
      <w:sz w:val="32"/>
      <w:szCs w:val="32"/>
    </w:rPr>
  </w:style>
  <w:style w:type="paragraph" w:styleId="85">
    <w:name w:val="annotation subject"/>
    <w:basedOn w:val="28"/>
    <w:next w:val="28"/>
    <w:link w:val="122"/>
    <w:semiHidden/>
    <w:unhideWhenUsed/>
    <w:qFormat/>
    <w:uiPriority w:val="0"/>
    <w:rPr>
      <w:b/>
      <w:bCs/>
    </w:rPr>
  </w:style>
  <w:style w:type="paragraph" w:styleId="86">
    <w:name w:val="Body Text First Indent"/>
    <w:basedOn w:val="34"/>
    <w:link w:val="133"/>
    <w:qFormat/>
    <w:uiPriority w:val="0"/>
    <w:pPr>
      <w:ind w:firstLine="420" w:firstLineChars="100"/>
    </w:pPr>
  </w:style>
  <w:style w:type="paragraph" w:styleId="87">
    <w:name w:val="Body Text First Indent 2"/>
    <w:basedOn w:val="35"/>
    <w:link w:val="135"/>
    <w:qFormat/>
    <w:uiPriority w:val="0"/>
    <w:pPr>
      <w:ind w:firstLine="420" w:firstLineChars="200"/>
    </w:pPr>
  </w:style>
  <w:style w:type="table" w:styleId="89">
    <w:name w:val="Table Grid"/>
    <w:basedOn w:val="88"/>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1">
    <w:name w:val="FollowedHyperlink"/>
    <w:basedOn w:val="90"/>
    <w:qFormat/>
    <w:uiPriority w:val="0"/>
    <w:rPr>
      <w:color w:val="954F72" w:themeColor="followedHyperlink"/>
      <w:u w:val="single"/>
      <w14:textFill>
        <w14:solidFill>
          <w14:schemeClr w14:val="folHlink"/>
        </w14:solidFill>
      </w14:textFill>
    </w:rPr>
  </w:style>
  <w:style w:type="character" w:styleId="92">
    <w:name w:val="Hyperlink"/>
    <w:basedOn w:val="90"/>
    <w:qFormat/>
    <w:uiPriority w:val="99"/>
    <w:rPr>
      <w:color w:val="0563C1" w:themeColor="hyperlink"/>
      <w:u w:val="single"/>
      <w14:textFill>
        <w14:solidFill>
          <w14:schemeClr w14:val="hlink"/>
        </w14:solidFill>
      </w14:textFill>
    </w:rPr>
  </w:style>
  <w:style w:type="paragraph" w:customStyle="1" w:styleId="93">
    <w:name w:val="paragraph"/>
    <w:basedOn w:val="1"/>
    <w:qFormat/>
    <w:uiPriority w:val="0"/>
    <w:pPr>
      <w:widowControl/>
      <w:spacing w:before="100" w:beforeAutospacing="1" w:after="100" w:afterAutospacing="1"/>
      <w:jc w:val="left"/>
    </w:pPr>
    <w:rPr>
      <w:rFonts w:ascii="宋体" w:hAnsi="宋体" w:cs="宋体"/>
      <w:kern w:val="0"/>
      <w:sz w:val="24"/>
      <w:szCs w:val="24"/>
    </w:rPr>
  </w:style>
  <w:style w:type="paragraph" w:styleId="94">
    <w:name w:val="List Paragraph"/>
    <w:basedOn w:val="1"/>
    <w:qFormat/>
    <w:uiPriority w:val="99"/>
    <w:pPr>
      <w:ind w:firstLine="420" w:firstLineChars="200"/>
    </w:pPr>
  </w:style>
  <w:style w:type="paragraph" w:customStyle="1" w:styleId="95">
    <w:name w:val="WPSOffice手动目录 1"/>
    <w:qFormat/>
    <w:uiPriority w:val="0"/>
    <w:rPr>
      <w:rFonts w:ascii="Times New Roman" w:hAnsi="Times New Roman" w:eastAsia="宋体" w:cs="Times New Roman"/>
      <w:lang w:val="en-US" w:eastAsia="zh-CN" w:bidi="ar-SA"/>
    </w:rPr>
  </w:style>
  <w:style w:type="paragraph" w:customStyle="1" w:styleId="96">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97">
    <w:name w:val="标题 1 字符"/>
    <w:basedOn w:val="90"/>
    <w:link w:val="3"/>
    <w:qFormat/>
    <w:uiPriority w:val="0"/>
    <w:rPr>
      <w:rFonts w:asciiTheme="minorHAnsi" w:hAnsiTheme="minorHAnsi" w:cstheme="minorBidi"/>
      <w:b/>
      <w:bCs/>
      <w:kern w:val="44"/>
      <w:sz w:val="44"/>
      <w:szCs w:val="44"/>
    </w:rPr>
  </w:style>
  <w:style w:type="paragraph" w:customStyle="1" w:styleId="98">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99">
    <w:name w:val="HTML 地址 字符"/>
    <w:basedOn w:val="90"/>
    <w:link w:val="41"/>
    <w:qFormat/>
    <w:uiPriority w:val="0"/>
    <w:rPr>
      <w:rFonts w:asciiTheme="minorHAnsi" w:hAnsiTheme="minorHAnsi" w:cstheme="minorBidi"/>
      <w:i/>
      <w:iCs/>
      <w:kern w:val="2"/>
      <w:sz w:val="21"/>
      <w:szCs w:val="21"/>
    </w:rPr>
  </w:style>
  <w:style w:type="character" w:customStyle="1" w:styleId="100">
    <w:name w:val="HTML 预设格式 字符"/>
    <w:basedOn w:val="90"/>
    <w:link w:val="80"/>
    <w:qFormat/>
    <w:uiPriority w:val="0"/>
    <w:rPr>
      <w:rFonts w:ascii="Courier New" w:hAnsi="Courier New" w:cs="Courier New"/>
      <w:kern w:val="2"/>
    </w:rPr>
  </w:style>
  <w:style w:type="paragraph" w:customStyle="1" w:styleId="101">
    <w:name w:val="TOC Heading"/>
    <w:basedOn w:val="3"/>
    <w:next w:val="1"/>
    <w:semiHidden/>
    <w:unhideWhenUsed/>
    <w:qFormat/>
    <w:uiPriority w:val="39"/>
    <w:pPr>
      <w:outlineLvl w:val="9"/>
    </w:pPr>
  </w:style>
  <w:style w:type="character" w:customStyle="1" w:styleId="102">
    <w:name w:val="标题 字符"/>
    <w:basedOn w:val="90"/>
    <w:link w:val="84"/>
    <w:qFormat/>
    <w:uiPriority w:val="0"/>
    <w:rPr>
      <w:rFonts w:asciiTheme="majorHAnsi" w:hAnsiTheme="majorHAnsi" w:eastAsiaTheme="majorEastAsia" w:cstheme="majorBidi"/>
      <w:b/>
      <w:bCs/>
      <w:kern w:val="2"/>
      <w:sz w:val="32"/>
      <w:szCs w:val="32"/>
    </w:rPr>
  </w:style>
  <w:style w:type="character" w:customStyle="1" w:styleId="103">
    <w:name w:val="标题 2 字符"/>
    <w:basedOn w:val="90"/>
    <w:link w:val="4"/>
    <w:semiHidden/>
    <w:qFormat/>
    <w:uiPriority w:val="0"/>
    <w:rPr>
      <w:rFonts w:asciiTheme="majorHAnsi" w:hAnsiTheme="majorHAnsi" w:eastAsiaTheme="majorEastAsia" w:cstheme="majorBidi"/>
      <w:b/>
      <w:bCs/>
      <w:kern w:val="2"/>
      <w:sz w:val="32"/>
      <w:szCs w:val="32"/>
    </w:rPr>
  </w:style>
  <w:style w:type="character" w:customStyle="1" w:styleId="104">
    <w:name w:val="标题 3 字符"/>
    <w:basedOn w:val="90"/>
    <w:link w:val="5"/>
    <w:semiHidden/>
    <w:qFormat/>
    <w:uiPriority w:val="0"/>
    <w:rPr>
      <w:rFonts w:asciiTheme="minorHAnsi" w:hAnsiTheme="minorHAnsi" w:cstheme="minorBidi"/>
      <w:b/>
      <w:bCs/>
      <w:kern w:val="2"/>
      <w:sz w:val="32"/>
      <w:szCs w:val="32"/>
    </w:rPr>
  </w:style>
  <w:style w:type="character" w:customStyle="1" w:styleId="105">
    <w:name w:val="标题 4 字符"/>
    <w:basedOn w:val="90"/>
    <w:link w:val="6"/>
    <w:semiHidden/>
    <w:qFormat/>
    <w:uiPriority w:val="0"/>
    <w:rPr>
      <w:rFonts w:asciiTheme="majorHAnsi" w:hAnsiTheme="majorHAnsi" w:eastAsiaTheme="majorEastAsia" w:cstheme="majorBidi"/>
      <w:b/>
      <w:bCs/>
      <w:kern w:val="2"/>
      <w:sz w:val="28"/>
      <w:szCs w:val="28"/>
    </w:rPr>
  </w:style>
  <w:style w:type="character" w:customStyle="1" w:styleId="106">
    <w:name w:val="标题 5 字符"/>
    <w:basedOn w:val="90"/>
    <w:link w:val="7"/>
    <w:semiHidden/>
    <w:qFormat/>
    <w:uiPriority w:val="0"/>
    <w:rPr>
      <w:rFonts w:asciiTheme="minorHAnsi" w:hAnsiTheme="minorHAnsi" w:cstheme="minorBidi"/>
      <w:b/>
      <w:bCs/>
      <w:kern w:val="2"/>
      <w:sz w:val="28"/>
      <w:szCs w:val="28"/>
    </w:rPr>
  </w:style>
  <w:style w:type="character" w:customStyle="1" w:styleId="107">
    <w:name w:val="标题 6 字符"/>
    <w:basedOn w:val="90"/>
    <w:link w:val="8"/>
    <w:semiHidden/>
    <w:qFormat/>
    <w:uiPriority w:val="0"/>
    <w:rPr>
      <w:rFonts w:asciiTheme="majorHAnsi" w:hAnsiTheme="majorHAnsi" w:eastAsiaTheme="majorEastAsia" w:cstheme="majorBidi"/>
      <w:b/>
      <w:bCs/>
      <w:kern w:val="2"/>
      <w:sz w:val="24"/>
      <w:szCs w:val="24"/>
    </w:rPr>
  </w:style>
  <w:style w:type="character" w:customStyle="1" w:styleId="108">
    <w:name w:val="标题 7 字符"/>
    <w:basedOn w:val="90"/>
    <w:link w:val="9"/>
    <w:semiHidden/>
    <w:qFormat/>
    <w:uiPriority w:val="0"/>
    <w:rPr>
      <w:rFonts w:asciiTheme="minorHAnsi" w:hAnsiTheme="minorHAnsi" w:cstheme="minorBidi"/>
      <w:b/>
      <w:bCs/>
      <w:kern w:val="2"/>
      <w:sz w:val="24"/>
      <w:szCs w:val="24"/>
    </w:rPr>
  </w:style>
  <w:style w:type="character" w:customStyle="1" w:styleId="109">
    <w:name w:val="标题 8 字符"/>
    <w:basedOn w:val="90"/>
    <w:link w:val="10"/>
    <w:semiHidden/>
    <w:qFormat/>
    <w:uiPriority w:val="0"/>
    <w:rPr>
      <w:rFonts w:asciiTheme="majorHAnsi" w:hAnsiTheme="majorHAnsi" w:eastAsiaTheme="majorEastAsia" w:cstheme="majorBidi"/>
      <w:kern w:val="2"/>
      <w:sz w:val="24"/>
      <w:szCs w:val="24"/>
    </w:rPr>
  </w:style>
  <w:style w:type="character" w:customStyle="1" w:styleId="110">
    <w:name w:val="标题 9 字符"/>
    <w:basedOn w:val="90"/>
    <w:link w:val="11"/>
    <w:semiHidden/>
    <w:qFormat/>
    <w:uiPriority w:val="0"/>
    <w:rPr>
      <w:rFonts w:asciiTheme="majorHAnsi" w:hAnsiTheme="majorHAnsi" w:eastAsiaTheme="majorEastAsia" w:cstheme="majorBidi"/>
      <w:kern w:val="2"/>
      <w:sz w:val="21"/>
      <w:szCs w:val="21"/>
    </w:rPr>
  </w:style>
  <w:style w:type="character" w:customStyle="1" w:styleId="111">
    <w:name w:val="称呼 字符"/>
    <w:basedOn w:val="90"/>
    <w:link w:val="30"/>
    <w:qFormat/>
    <w:uiPriority w:val="0"/>
    <w:rPr>
      <w:rFonts w:asciiTheme="minorHAnsi" w:hAnsiTheme="minorHAnsi" w:cstheme="minorBidi"/>
      <w:kern w:val="2"/>
      <w:sz w:val="21"/>
      <w:szCs w:val="21"/>
    </w:rPr>
  </w:style>
  <w:style w:type="character" w:customStyle="1" w:styleId="112">
    <w:name w:val="纯文本 字符"/>
    <w:basedOn w:val="90"/>
    <w:link w:val="45"/>
    <w:qFormat/>
    <w:uiPriority w:val="0"/>
    <w:rPr>
      <w:rFonts w:hAnsi="Courier New" w:cs="Courier New" w:asciiTheme="minorEastAsia" w:eastAsiaTheme="minorEastAsia"/>
      <w:kern w:val="2"/>
      <w:sz w:val="21"/>
      <w:szCs w:val="21"/>
    </w:rPr>
  </w:style>
  <w:style w:type="character" w:customStyle="1" w:styleId="113">
    <w:name w:val="电子邮件签名 字符"/>
    <w:basedOn w:val="90"/>
    <w:link w:val="19"/>
    <w:qFormat/>
    <w:uiPriority w:val="0"/>
    <w:rPr>
      <w:rFonts w:asciiTheme="minorHAnsi" w:hAnsiTheme="minorHAnsi" w:cstheme="minorBidi"/>
      <w:kern w:val="2"/>
      <w:sz w:val="21"/>
      <w:szCs w:val="21"/>
    </w:rPr>
  </w:style>
  <w:style w:type="character" w:customStyle="1" w:styleId="114">
    <w:name w:val="副标题 字符"/>
    <w:basedOn w:val="90"/>
    <w:link w:val="64"/>
    <w:qFormat/>
    <w:uiPriority w:val="0"/>
    <w:rPr>
      <w:rFonts w:asciiTheme="minorHAnsi" w:hAnsiTheme="minorHAnsi" w:eastAsiaTheme="minorEastAsia" w:cstheme="minorBidi"/>
      <w:b/>
      <w:bCs/>
      <w:kern w:val="28"/>
      <w:sz w:val="32"/>
      <w:szCs w:val="32"/>
    </w:rPr>
  </w:style>
  <w:style w:type="character" w:customStyle="1" w:styleId="115">
    <w:name w:val="宏文本 字符"/>
    <w:basedOn w:val="90"/>
    <w:link w:val="2"/>
    <w:qFormat/>
    <w:uiPriority w:val="0"/>
    <w:rPr>
      <w:rFonts w:ascii="Courier New" w:hAnsi="Courier New" w:cs="Courier New"/>
      <w:kern w:val="2"/>
      <w:sz w:val="24"/>
      <w:szCs w:val="24"/>
    </w:rPr>
  </w:style>
  <w:style w:type="character" w:customStyle="1" w:styleId="116">
    <w:name w:val="脚注文本 字符"/>
    <w:basedOn w:val="90"/>
    <w:link w:val="67"/>
    <w:qFormat/>
    <w:uiPriority w:val="0"/>
    <w:rPr>
      <w:rFonts w:asciiTheme="minorHAnsi" w:hAnsiTheme="minorHAnsi" w:cstheme="minorBidi"/>
      <w:kern w:val="2"/>
      <w:sz w:val="18"/>
      <w:szCs w:val="18"/>
    </w:rPr>
  </w:style>
  <w:style w:type="character" w:customStyle="1" w:styleId="117">
    <w:name w:val="结束语 字符"/>
    <w:basedOn w:val="90"/>
    <w:link w:val="32"/>
    <w:qFormat/>
    <w:uiPriority w:val="0"/>
    <w:rPr>
      <w:rFonts w:asciiTheme="minorHAnsi" w:hAnsiTheme="minorHAnsi" w:cstheme="minorBidi"/>
      <w:kern w:val="2"/>
      <w:sz w:val="21"/>
      <w:szCs w:val="21"/>
    </w:rPr>
  </w:style>
  <w:style w:type="paragraph" w:styleId="118">
    <w:name w:val="Intense Quote"/>
    <w:basedOn w:val="1"/>
    <w:next w:val="1"/>
    <w:link w:val="119"/>
    <w:qFormat/>
    <w:uiPriority w:val="99"/>
    <w:pPr>
      <w:pBdr>
        <w:top w:val="single" w:color="5B9BD5" w:themeColor="accent1" w:sz="4" w:space="10"/>
        <w:bottom w:val="single" w:color="5B9BD5" w:themeColor="accent1" w:sz="4" w:space="10"/>
      </w:pBdr>
      <w:spacing w:before="360" w:after="360"/>
      <w:ind w:left="864" w:right="864"/>
      <w:jc w:val="center"/>
    </w:pPr>
    <w:rPr>
      <w:i/>
      <w:iCs/>
      <w:color w:val="5B9BD5" w:themeColor="accent1"/>
      <w14:textFill>
        <w14:solidFill>
          <w14:schemeClr w14:val="accent1"/>
        </w14:solidFill>
      </w14:textFill>
    </w:rPr>
  </w:style>
  <w:style w:type="character" w:customStyle="1" w:styleId="119">
    <w:name w:val="明显引用 字符"/>
    <w:basedOn w:val="90"/>
    <w:link w:val="118"/>
    <w:qFormat/>
    <w:uiPriority w:val="99"/>
    <w:rPr>
      <w:rFonts w:asciiTheme="minorHAnsi" w:hAnsiTheme="minorHAnsi" w:cstheme="minorBidi"/>
      <w:i/>
      <w:iCs/>
      <w:color w:val="5B9BD5" w:themeColor="accent1"/>
      <w:kern w:val="2"/>
      <w:sz w:val="21"/>
      <w:szCs w:val="21"/>
      <w14:textFill>
        <w14:solidFill>
          <w14:schemeClr w14:val="accent1"/>
        </w14:solidFill>
      </w14:textFill>
    </w:rPr>
  </w:style>
  <w:style w:type="character" w:customStyle="1" w:styleId="120">
    <w:name w:val="批注框文本 字符"/>
    <w:basedOn w:val="90"/>
    <w:link w:val="54"/>
    <w:semiHidden/>
    <w:qFormat/>
    <w:uiPriority w:val="0"/>
    <w:rPr>
      <w:rFonts w:asciiTheme="minorHAnsi" w:hAnsiTheme="minorHAnsi" w:cstheme="minorBidi"/>
      <w:kern w:val="2"/>
      <w:sz w:val="18"/>
      <w:szCs w:val="18"/>
    </w:rPr>
  </w:style>
  <w:style w:type="character" w:customStyle="1" w:styleId="121">
    <w:name w:val="批注文字 字符"/>
    <w:basedOn w:val="90"/>
    <w:link w:val="28"/>
    <w:qFormat/>
    <w:uiPriority w:val="0"/>
    <w:rPr>
      <w:rFonts w:asciiTheme="minorHAnsi" w:hAnsiTheme="minorHAnsi" w:cstheme="minorBidi"/>
      <w:kern w:val="2"/>
      <w:sz w:val="21"/>
      <w:szCs w:val="21"/>
    </w:rPr>
  </w:style>
  <w:style w:type="character" w:customStyle="1" w:styleId="122">
    <w:name w:val="批注主题 字符"/>
    <w:basedOn w:val="121"/>
    <w:link w:val="85"/>
    <w:semiHidden/>
    <w:qFormat/>
    <w:uiPriority w:val="0"/>
    <w:rPr>
      <w:rFonts w:asciiTheme="minorHAnsi" w:hAnsiTheme="minorHAnsi" w:cstheme="minorBidi"/>
      <w:b/>
      <w:bCs/>
      <w:kern w:val="2"/>
      <w:sz w:val="21"/>
      <w:szCs w:val="21"/>
    </w:rPr>
  </w:style>
  <w:style w:type="character" w:customStyle="1" w:styleId="123">
    <w:name w:val="签名 字符"/>
    <w:basedOn w:val="90"/>
    <w:link w:val="58"/>
    <w:qFormat/>
    <w:uiPriority w:val="0"/>
    <w:rPr>
      <w:rFonts w:asciiTheme="minorHAnsi" w:hAnsiTheme="minorHAnsi" w:cstheme="minorBidi"/>
      <w:kern w:val="2"/>
      <w:sz w:val="21"/>
      <w:szCs w:val="21"/>
    </w:rPr>
  </w:style>
  <w:style w:type="character" w:customStyle="1" w:styleId="124">
    <w:name w:val="日期 字符"/>
    <w:basedOn w:val="90"/>
    <w:link w:val="50"/>
    <w:qFormat/>
    <w:uiPriority w:val="0"/>
    <w:rPr>
      <w:rFonts w:asciiTheme="minorHAnsi" w:hAnsiTheme="minorHAnsi" w:cstheme="minorBidi"/>
      <w:kern w:val="2"/>
      <w:sz w:val="21"/>
      <w:szCs w:val="21"/>
    </w:rPr>
  </w:style>
  <w:style w:type="paragraph" w:customStyle="1" w:styleId="125">
    <w:name w:val="Bibliography"/>
    <w:basedOn w:val="1"/>
    <w:next w:val="1"/>
    <w:semiHidden/>
    <w:unhideWhenUsed/>
    <w:qFormat/>
    <w:uiPriority w:val="37"/>
  </w:style>
  <w:style w:type="character" w:customStyle="1" w:styleId="126">
    <w:name w:val="尾注文本 字符"/>
    <w:basedOn w:val="90"/>
    <w:link w:val="52"/>
    <w:qFormat/>
    <w:uiPriority w:val="0"/>
    <w:rPr>
      <w:rFonts w:asciiTheme="minorHAnsi" w:hAnsiTheme="minorHAnsi" w:cstheme="minorBidi"/>
      <w:kern w:val="2"/>
      <w:sz w:val="21"/>
      <w:szCs w:val="21"/>
    </w:rPr>
  </w:style>
  <w:style w:type="character" w:customStyle="1" w:styleId="127">
    <w:name w:val="文档结构图 字符"/>
    <w:basedOn w:val="90"/>
    <w:link w:val="26"/>
    <w:qFormat/>
    <w:uiPriority w:val="0"/>
    <w:rPr>
      <w:rFonts w:ascii="Microsoft YaHei UI" w:eastAsia="Microsoft YaHei UI" w:hAnsiTheme="minorHAnsi" w:cstheme="minorBidi"/>
      <w:kern w:val="2"/>
      <w:sz w:val="18"/>
      <w:szCs w:val="18"/>
    </w:rPr>
  </w:style>
  <w:style w:type="paragraph" w:styleId="128">
    <w:name w:val="No Spacing"/>
    <w:qFormat/>
    <w:uiPriority w:val="99"/>
    <w:pPr>
      <w:widowControl w:val="0"/>
      <w:jc w:val="both"/>
    </w:pPr>
    <w:rPr>
      <w:rFonts w:eastAsia="宋体" w:asciiTheme="minorHAnsi" w:hAnsiTheme="minorHAnsi" w:cstheme="minorBidi"/>
      <w:kern w:val="2"/>
      <w:sz w:val="21"/>
      <w:szCs w:val="21"/>
      <w:lang w:val="en-US" w:eastAsia="zh-CN" w:bidi="ar-SA"/>
    </w:rPr>
  </w:style>
  <w:style w:type="character" w:customStyle="1" w:styleId="129">
    <w:name w:val="信息标题 字符"/>
    <w:basedOn w:val="90"/>
    <w:link w:val="79"/>
    <w:qFormat/>
    <w:uiPriority w:val="0"/>
    <w:rPr>
      <w:rFonts w:asciiTheme="majorHAnsi" w:hAnsiTheme="majorHAnsi" w:eastAsiaTheme="majorEastAsia" w:cstheme="majorBidi"/>
      <w:kern w:val="2"/>
      <w:sz w:val="24"/>
      <w:szCs w:val="24"/>
      <w:shd w:val="pct20" w:color="auto" w:fill="auto"/>
    </w:rPr>
  </w:style>
  <w:style w:type="paragraph" w:styleId="130">
    <w:name w:val="Quote"/>
    <w:basedOn w:val="1"/>
    <w:next w:val="1"/>
    <w:link w:val="131"/>
    <w:qFormat/>
    <w:uiPriority w:val="9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131">
    <w:name w:val="引用 字符"/>
    <w:basedOn w:val="90"/>
    <w:link w:val="130"/>
    <w:qFormat/>
    <w:uiPriority w:val="99"/>
    <w:rPr>
      <w:rFonts w:asciiTheme="minorHAnsi" w:hAnsiTheme="minorHAnsi" w:cstheme="minorBidi"/>
      <w:i/>
      <w:iCs/>
      <w:color w:val="404040" w:themeColor="text1" w:themeTint="BF"/>
      <w:kern w:val="2"/>
      <w:sz w:val="21"/>
      <w:szCs w:val="21"/>
      <w14:textFill>
        <w14:solidFill>
          <w14:schemeClr w14:val="tx1">
            <w14:lumMod w14:val="75000"/>
            <w14:lumOff w14:val="25000"/>
          </w14:schemeClr>
        </w14:solidFill>
      </w14:textFill>
    </w:rPr>
  </w:style>
  <w:style w:type="character" w:customStyle="1" w:styleId="132">
    <w:name w:val="正文文本 字符"/>
    <w:basedOn w:val="90"/>
    <w:link w:val="34"/>
    <w:qFormat/>
    <w:uiPriority w:val="0"/>
    <w:rPr>
      <w:rFonts w:asciiTheme="minorHAnsi" w:hAnsiTheme="minorHAnsi" w:cstheme="minorBidi"/>
      <w:kern w:val="2"/>
      <w:sz w:val="21"/>
      <w:szCs w:val="21"/>
    </w:rPr>
  </w:style>
  <w:style w:type="character" w:customStyle="1" w:styleId="133">
    <w:name w:val="正文首行缩进 字符"/>
    <w:basedOn w:val="132"/>
    <w:link w:val="86"/>
    <w:qFormat/>
    <w:uiPriority w:val="0"/>
    <w:rPr>
      <w:rFonts w:asciiTheme="minorHAnsi" w:hAnsiTheme="minorHAnsi" w:cstheme="minorBidi"/>
      <w:kern w:val="2"/>
      <w:sz w:val="21"/>
      <w:szCs w:val="21"/>
    </w:rPr>
  </w:style>
  <w:style w:type="character" w:customStyle="1" w:styleId="134">
    <w:name w:val="正文文本缩进 字符"/>
    <w:basedOn w:val="90"/>
    <w:link w:val="35"/>
    <w:qFormat/>
    <w:uiPriority w:val="0"/>
    <w:rPr>
      <w:rFonts w:asciiTheme="minorHAnsi" w:hAnsiTheme="minorHAnsi" w:cstheme="minorBidi"/>
      <w:kern w:val="2"/>
      <w:sz w:val="21"/>
      <w:szCs w:val="21"/>
    </w:rPr>
  </w:style>
  <w:style w:type="character" w:customStyle="1" w:styleId="135">
    <w:name w:val="正文首行缩进 2 字符"/>
    <w:basedOn w:val="134"/>
    <w:link w:val="87"/>
    <w:qFormat/>
    <w:uiPriority w:val="0"/>
    <w:rPr>
      <w:rFonts w:asciiTheme="minorHAnsi" w:hAnsiTheme="minorHAnsi" w:cstheme="minorBidi"/>
      <w:kern w:val="2"/>
      <w:sz w:val="21"/>
      <w:szCs w:val="21"/>
    </w:rPr>
  </w:style>
  <w:style w:type="character" w:customStyle="1" w:styleId="136">
    <w:name w:val="正文文本 2 字符"/>
    <w:basedOn w:val="90"/>
    <w:link w:val="76"/>
    <w:qFormat/>
    <w:uiPriority w:val="0"/>
    <w:rPr>
      <w:rFonts w:asciiTheme="minorHAnsi" w:hAnsiTheme="minorHAnsi" w:cstheme="minorBidi"/>
      <w:kern w:val="2"/>
      <w:sz w:val="21"/>
      <w:szCs w:val="21"/>
    </w:rPr>
  </w:style>
  <w:style w:type="character" w:customStyle="1" w:styleId="137">
    <w:name w:val="正文文本 3 字符"/>
    <w:basedOn w:val="90"/>
    <w:link w:val="31"/>
    <w:qFormat/>
    <w:uiPriority w:val="0"/>
    <w:rPr>
      <w:rFonts w:asciiTheme="minorHAnsi" w:hAnsiTheme="minorHAnsi" w:cstheme="minorBidi"/>
      <w:kern w:val="2"/>
      <w:sz w:val="16"/>
      <w:szCs w:val="16"/>
    </w:rPr>
  </w:style>
  <w:style w:type="character" w:customStyle="1" w:styleId="138">
    <w:name w:val="正文文本缩进 2 字符"/>
    <w:basedOn w:val="90"/>
    <w:link w:val="51"/>
    <w:qFormat/>
    <w:uiPriority w:val="0"/>
    <w:rPr>
      <w:rFonts w:asciiTheme="minorHAnsi" w:hAnsiTheme="minorHAnsi" w:cstheme="minorBidi"/>
      <w:kern w:val="2"/>
      <w:sz w:val="21"/>
      <w:szCs w:val="21"/>
    </w:rPr>
  </w:style>
  <w:style w:type="character" w:customStyle="1" w:styleId="139">
    <w:name w:val="正文文本缩进 3 字符"/>
    <w:basedOn w:val="90"/>
    <w:link w:val="70"/>
    <w:qFormat/>
    <w:uiPriority w:val="0"/>
    <w:rPr>
      <w:rFonts w:asciiTheme="minorHAnsi" w:hAnsiTheme="minorHAnsi" w:cstheme="minorBidi"/>
      <w:kern w:val="2"/>
      <w:sz w:val="16"/>
      <w:szCs w:val="16"/>
    </w:rPr>
  </w:style>
  <w:style w:type="character" w:customStyle="1" w:styleId="140">
    <w:name w:val="注释标题 字符"/>
    <w:basedOn w:val="90"/>
    <w:link w:val="16"/>
    <w:qFormat/>
    <w:uiPriority w:val="0"/>
    <w:rPr>
      <w:rFonts w:asciiTheme="minorHAnsi" w:hAnsiTheme="minorHAnsi" w:cstheme="minorBidi"/>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BB62F3-7168-4816-BD3F-CA0CD344F37D}">
  <ds:schemaRefs/>
</ds:datastoreItem>
</file>

<file path=docProps/app.xml><?xml version="1.0" encoding="utf-8"?>
<Properties xmlns="http://schemas.openxmlformats.org/officeDocument/2006/extended-properties" xmlns:vt="http://schemas.openxmlformats.org/officeDocument/2006/docPropsVTypes">
  <Template>Normal</Template>
  <Pages>8</Pages>
  <Words>6891</Words>
  <Characters>7327</Characters>
  <Lines>80</Lines>
  <Paragraphs>22</Paragraphs>
  <TotalTime>0</TotalTime>
  <ScaleCrop>false</ScaleCrop>
  <LinksUpToDate>false</LinksUpToDate>
  <CharactersWithSpaces>7427</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2022-11-15T10:06:00Z</dcterms:created>
  <dc:creator>yanjiusuo</dc:creator>
  <cp:lastModifiedBy>yang.jiahong</cp:lastModifiedBy>
  <cp:lastPrinted>2023-06-08T02:23:00Z</cp:lastPrinted>
  <dcterms:modified xsi:type="dcterms:W3CDTF">2024-12-03T02:16:52Z</dcterms:modified>
  <cp:revision>158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88F59B570830480FBD960522A6F97CC7</vt:lpwstr>
  </property>
</Properties>
</file>