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85" w:rsidRPr="003B6FA2" w:rsidRDefault="00B45485" w:rsidP="00B45485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B45485" w:rsidRPr="00957FE1" w:rsidRDefault="00B45485" w:rsidP="00B45485">
      <w:pPr>
        <w:spacing w:before="240"/>
        <w:jc w:val="center"/>
        <w:rPr>
          <w:rFonts w:ascii="方正小标宋简体" w:eastAsia="方正小标宋简体" w:hAnsi="宋体"/>
          <w:sz w:val="44"/>
          <w:szCs w:val="44"/>
        </w:rPr>
      </w:pPr>
      <w:r w:rsidRPr="00957FE1">
        <w:rPr>
          <w:rFonts w:ascii="方正小标宋简体" w:eastAsia="方正小标宋简体" w:hAnsi="宋体" w:hint="eastAsia"/>
          <w:sz w:val="44"/>
          <w:szCs w:val="44"/>
        </w:rPr>
        <w:t>《郑州商品交易所期货交割细则》修订案</w:t>
      </w:r>
    </w:p>
    <w:p w:rsidR="00B45485" w:rsidRDefault="00B45485" w:rsidP="00B45485">
      <w:pPr>
        <w:spacing w:before="240" w:after="240"/>
        <w:ind w:firstLineChars="200" w:firstLine="560"/>
        <w:jc w:val="left"/>
        <w:rPr>
          <w:rFonts w:ascii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28"/>
          <w:szCs w:val="28"/>
        </w:rPr>
        <w:t>（2022年6月14日郑州商品交易所第七届理事会第二十四次会议审议通过，自菜油期货2307合约开始施行）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对《郑州商品交易所期货交割细则》作如下修订：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一、将第二十九条修订为：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“……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基准交割品：符合《中华人民共和国国家标准 </w:t>
      </w:r>
      <w:proofErr w:type="gramStart"/>
      <w:r>
        <w:rPr>
          <w:rFonts w:ascii="仿宋" w:eastAsia="仿宋" w:hAnsi="仿宋" w:hint="eastAsia"/>
          <w:sz w:val="32"/>
          <w:szCs w:val="32"/>
        </w:rPr>
        <w:t>菜籽油</w:t>
      </w:r>
      <w:proofErr w:type="gramEnd"/>
      <w:r>
        <w:rPr>
          <w:rFonts w:ascii="仿宋" w:eastAsia="仿宋" w:hAnsi="仿宋" w:hint="eastAsia"/>
          <w:sz w:val="32"/>
          <w:szCs w:val="32"/>
        </w:rPr>
        <w:t>》（</w:t>
      </w:r>
      <w:r>
        <w:rPr>
          <w:rFonts w:eastAsia="仿宋"/>
          <w:sz w:val="32"/>
          <w:szCs w:val="32"/>
        </w:rPr>
        <w:t>GB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eastAsia="仿宋"/>
          <w:sz w:val="32"/>
          <w:szCs w:val="32"/>
        </w:rPr>
        <w:t>T 1536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eastAsia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）浸出三级质量指标的菜油。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替代品及升贴水：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符合</w:t>
      </w:r>
      <w:r>
        <w:rPr>
          <w:rFonts w:eastAsia="仿宋"/>
          <w:sz w:val="32"/>
          <w:szCs w:val="32"/>
        </w:rPr>
        <w:t>GB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eastAsia="仿宋"/>
          <w:sz w:val="32"/>
          <w:szCs w:val="32"/>
        </w:rPr>
        <w:t>T 1536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eastAsia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规定的浸出一级、二级或压榨一级、二级质量指标的菜油可以替代交割，无升贴水。”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二、将第三十条修订为：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“菜油入库时，酸价不得超过</w:t>
      </w:r>
      <w:r>
        <w:rPr>
          <w:rFonts w:eastAsia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eastAsia="仿宋"/>
          <w:sz w:val="32"/>
          <w:szCs w:val="32"/>
        </w:rPr>
        <w:t>3mg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eastAsia="仿宋"/>
          <w:sz w:val="32"/>
          <w:szCs w:val="32"/>
        </w:rPr>
        <w:t>g</w:t>
      </w:r>
      <w:r>
        <w:rPr>
          <w:rFonts w:ascii="仿宋" w:eastAsia="仿宋" w:hAnsi="仿宋" w:hint="eastAsia"/>
          <w:sz w:val="32"/>
          <w:szCs w:val="32"/>
        </w:rPr>
        <w:t>，过氧化值不得超过</w:t>
      </w:r>
      <w:r>
        <w:rPr>
          <w:rFonts w:eastAsia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eastAsia="仿宋"/>
          <w:sz w:val="32"/>
          <w:szCs w:val="32"/>
        </w:rPr>
        <w:t>10g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eastAsia="仿宋"/>
          <w:sz w:val="32"/>
          <w:szCs w:val="32"/>
        </w:rPr>
        <w:t>100g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45485" w:rsidRDefault="00B45485" w:rsidP="00B454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菜油出库时，酸价不得超过</w:t>
      </w:r>
      <w:r>
        <w:rPr>
          <w:rFonts w:eastAsia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eastAsia="仿宋"/>
          <w:sz w:val="32"/>
          <w:szCs w:val="32"/>
        </w:rPr>
        <w:t>0mg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eastAsia="仿宋"/>
          <w:sz w:val="32"/>
          <w:szCs w:val="32"/>
        </w:rPr>
        <w:t>g</w:t>
      </w:r>
      <w:r>
        <w:rPr>
          <w:rFonts w:ascii="仿宋" w:eastAsia="仿宋" w:hAnsi="仿宋" w:hint="eastAsia"/>
          <w:sz w:val="32"/>
          <w:szCs w:val="32"/>
        </w:rPr>
        <w:t>，过氧化值不得超过</w:t>
      </w:r>
      <w:r>
        <w:rPr>
          <w:rFonts w:eastAsia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eastAsia="仿宋"/>
          <w:sz w:val="32"/>
          <w:szCs w:val="32"/>
        </w:rPr>
        <w:t>16g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eastAsia="仿宋"/>
          <w:sz w:val="32"/>
          <w:szCs w:val="32"/>
        </w:rPr>
        <w:t>100g</w:t>
      </w:r>
      <w:r>
        <w:rPr>
          <w:rFonts w:ascii="仿宋" w:eastAsia="仿宋" w:hAnsi="仿宋" w:hint="eastAsia"/>
          <w:sz w:val="32"/>
          <w:szCs w:val="32"/>
        </w:rPr>
        <w:t>。”</w:t>
      </w:r>
    </w:p>
    <w:p w:rsidR="00B45485" w:rsidRDefault="00B45485" w:rsidP="00B45485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br w:type="page"/>
      </w:r>
    </w:p>
    <w:p w:rsidR="00B45485" w:rsidRDefault="00B45485" w:rsidP="00B45485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《郑州商品交易所期货交割细则》修订条款对照表</w:t>
      </w:r>
    </w:p>
    <w:tbl>
      <w:tblPr>
        <w:tblW w:w="0" w:type="auto"/>
        <w:tblLook w:val="04A0"/>
      </w:tblPr>
      <w:tblGrid>
        <w:gridCol w:w="4219"/>
        <w:gridCol w:w="4253"/>
      </w:tblGrid>
      <w:tr w:rsidR="00B45485" w:rsidTr="0052409E">
        <w:trPr>
          <w:trHeight w:val="4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85" w:rsidRDefault="00B45485" w:rsidP="0052409E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现行条文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85" w:rsidRDefault="00B45485" w:rsidP="0052409E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修订后条文</w:t>
            </w:r>
          </w:p>
        </w:tc>
      </w:tr>
      <w:tr w:rsidR="00B45485" w:rsidTr="0052409E">
        <w:trPr>
          <w:trHeight w:val="51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5" w:rsidRDefault="00B45485" w:rsidP="0052409E">
            <w:pPr>
              <w:ind w:firstLineChars="200" w:firstLine="480"/>
              <w:rPr>
                <w:rFonts w:ascii="仿宋" w:eastAsia="仿宋" w:hAnsi="仿宋" w:cstheme="minorBidi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第二十九条 菜油交割适用国家标准及本细则规定。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基准交割品：符合《中华人民共和国国家标准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菜籽油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》（</w:t>
            </w:r>
            <w:r>
              <w:rPr>
                <w:rFonts w:eastAsia="仿宋"/>
                <w:kern w:val="0"/>
                <w:sz w:val="24"/>
                <w:szCs w:val="20"/>
              </w:rPr>
              <w:t>GB1536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-</w:t>
            </w:r>
            <w:r>
              <w:rPr>
                <w:rFonts w:eastAsia="仿宋"/>
                <w:kern w:val="0"/>
                <w:sz w:val="24"/>
                <w:szCs w:val="20"/>
              </w:rPr>
              <w:t>2004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）四级质量指标的菜油。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替代品及升贴水：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（一）符合</w:t>
            </w:r>
            <w:r>
              <w:rPr>
                <w:rFonts w:eastAsia="仿宋"/>
                <w:kern w:val="0"/>
                <w:sz w:val="24"/>
                <w:szCs w:val="20"/>
              </w:rPr>
              <w:t>GB1536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-</w:t>
            </w:r>
            <w:r>
              <w:rPr>
                <w:rFonts w:eastAsia="仿宋"/>
                <w:kern w:val="0"/>
                <w:sz w:val="24"/>
                <w:szCs w:val="20"/>
              </w:rPr>
              <w:t>2004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规定的三级、二级、一级质量指标的菜油可以替代交割，无升贴水。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（二）“加热试验（</w:t>
            </w:r>
            <w:r>
              <w:rPr>
                <w:rFonts w:eastAsia="仿宋"/>
                <w:kern w:val="0"/>
                <w:sz w:val="24"/>
                <w:szCs w:val="20"/>
              </w:rPr>
              <w:t>280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℃）”项目中，仅</w:t>
            </w:r>
            <w:r>
              <w:rPr>
                <w:rFonts w:eastAsia="仿宋"/>
                <w:kern w:val="0"/>
                <w:sz w:val="24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≤蓝色增加值≤</w:t>
            </w:r>
            <w:r>
              <w:rPr>
                <w:rFonts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kern w:val="0"/>
                <w:sz w:val="24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，其他指标符合基准交割品质量要求的菜油，可以替代交割，贴水</w:t>
            </w:r>
            <w:r>
              <w:rPr>
                <w:rFonts w:eastAsia="仿宋"/>
                <w:kern w:val="0"/>
                <w:sz w:val="24"/>
                <w:szCs w:val="20"/>
              </w:rPr>
              <w:t>30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元/吨。该菜油须以菜籽原油标示。</w:t>
            </w:r>
          </w:p>
          <w:p w:rsidR="00B45485" w:rsidRDefault="00B45485" w:rsidP="0052409E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85" w:rsidRDefault="00B45485" w:rsidP="0052409E">
            <w:pPr>
              <w:ind w:firstLineChars="200" w:firstLine="480"/>
              <w:rPr>
                <w:rFonts w:ascii="仿宋" w:eastAsia="仿宋" w:hAnsi="仿宋" w:cstheme="minorBidi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第二十九条 菜油交割适用国家标准及本细则规定。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基准交割品：符合《中华人民共和国国家标准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菜籽油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》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（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GB1536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-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2004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）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（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GB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/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T 1536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-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2021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）浸出三级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四级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质量指标的菜油。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替代品及升贴水：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（一）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符合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GB1536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-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2004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GB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/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T 1536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-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2021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规定的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三级、二级、一级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浸出一级、二级或压榨一级、二级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质量指标的菜油可以替代交割，无升贴水。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dstrike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（二）“加热试验（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280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℃）”项目中，仅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0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≤蓝色增加值≤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0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，其他指标符合基准交割品质量要求的菜油，可以替代交割，贴水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30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元/吨。该菜油须以菜籽原油标示。</w:t>
            </w:r>
          </w:p>
        </w:tc>
      </w:tr>
      <w:tr w:rsidR="00B45485" w:rsidTr="0052409E">
        <w:trPr>
          <w:trHeight w:val="51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5" w:rsidRPr="005E55DA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第三十条 自每年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月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日（含该日）起至当年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月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日止（不含该日）入库的菜油，其酸值不得超过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3mg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/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，过氧化值不得超过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5mmol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/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kg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，色泽黄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红不超过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自每年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月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日（含该日）起至次年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月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日止（不含该日）入库的菜油，其酸值不得超过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5mg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/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，过氧化值不得超过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4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0mmol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/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kg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，色泽黄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红不超过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菜油出库时，其过氧化值不得超过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5mmol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/</w:t>
            </w:r>
            <w:r w:rsidRPr="005E55DA">
              <w:rPr>
                <w:rFonts w:ascii="仿宋" w:eastAsia="仿宋" w:hAnsi="仿宋"/>
                <w:kern w:val="0"/>
                <w:sz w:val="24"/>
                <w:szCs w:val="20"/>
              </w:rPr>
              <w:t>kg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85" w:rsidRDefault="00B45485" w:rsidP="0052409E">
            <w:pPr>
              <w:ind w:firstLineChars="200" w:firstLine="480"/>
              <w:rPr>
                <w:rFonts w:ascii="仿宋" w:eastAsia="仿宋" w:hAnsi="仿宋" w:cstheme="minorBidi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第三十条  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自每年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月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日（含该日）起至当年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12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月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日止（不含该日）入库的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菜油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入库时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，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其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酸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值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价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不得超过</w:t>
            </w:r>
            <w:r>
              <w:rPr>
                <w:rFonts w:eastAsia="仿宋"/>
                <w:kern w:val="0"/>
                <w:sz w:val="24"/>
                <w:szCs w:val="20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kern w:val="0"/>
                <w:sz w:val="24"/>
                <w:szCs w:val="20"/>
              </w:rPr>
              <w:t>3mg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/</w:t>
            </w:r>
            <w:r>
              <w:rPr>
                <w:rFonts w:eastAsia="仿宋"/>
                <w:kern w:val="0"/>
                <w:sz w:val="24"/>
                <w:szCs w:val="20"/>
              </w:rPr>
              <w:t>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，过氧化值不得超过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5mmol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/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kg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0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.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10g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/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100g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，色泽黄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35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红不超过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dstrike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自每年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12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月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日（含该日）起至次年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月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日止（不含该日）入库的菜油，其酸值不得超过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2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5mg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/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g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，过氧化值不得超过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4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0mmol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/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kg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，色泽黄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35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红不超过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菜油出库时，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酸价不得超过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3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.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0mg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/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  <w:u w:val="single"/>
              </w:rPr>
              <w:t>，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其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过氧化值不得超过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.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5mmol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/</w:t>
            </w:r>
            <w:r>
              <w:rPr>
                <w:rFonts w:eastAsia="仿宋"/>
                <w:dstrike/>
                <w:kern w:val="0"/>
                <w:sz w:val="24"/>
                <w:szCs w:val="20"/>
              </w:rPr>
              <w:t>kg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0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.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16g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>/</w:t>
            </w:r>
            <w:r>
              <w:rPr>
                <w:rFonts w:eastAsia="仿宋"/>
                <w:b/>
                <w:kern w:val="0"/>
                <w:sz w:val="24"/>
                <w:szCs w:val="20"/>
                <w:u w:val="single"/>
              </w:rPr>
              <w:t>100g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。</w:t>
            </w:r>
          </w:p>
          <w:p w:rsidR="00B45485" w:rsidRDefault="00B45485" w:rsidP="0052409E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/>
                <w:kern w:val="0"/>
                <w:sz w:val="24"/>
                <w:szCs w:val="20"/>
              </w:rPr>
              <w:t xml:space="preserve"> </w:t>
            </w:r>
          </w:p>
        </w:tc>
      </w:tr>
    </w:tbl>
    <w:p w:rsidR="00B45485" w:rsidRPr="005E55DA" w:rsidRDefault="00B45485" w:rsidP="00B45485">
      <w:pPr>
        <w:ind w:right="800"/>
        <w:rPr>
          <w:rFonts w:ascii="仿宋" w:eastAsia="仿宋" w:hAnsi="仿宋"/>
          <w:sz w:val="32"/>
          <w:szCs w:val="32"/>
        </w:rPr>
      </w:pPr>
    </w:p>
    <w:p w:rsidR="002B58FB" w:rsidRPr="00B45485" w:rsidRDefault="002B58FB"/>
    <w:sectPr w:rsidR="002B58FB" w:rsidRPr="00B45485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485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37114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485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2022-06-24T01:55:00Z</dcterms:created>
  <dcterms:modified xsi:type="dcterms:W3CDTF">2022-06-24T01:55:00Z</dcterms:modified>
</cp:coreProperties>
</file>