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Times New Roman" w:hAnsi="Times New Roman" w:eastAsia="黑体" w:cs="黑体"/>
          <w:sz w:val="32"/>
          <w:szCs w:val="32"/>
        </w:rPr>
      </w:pPr>
      <w:r>
        <w:rPr>
          <w:rFonts w:hint="eastAsia" w:ascii="Times New Roman" w:hAnsi="Times New Roman" w:eastAsia="黑体" w:cs="黑体"/>
          <w:sz w:val="32"/>
          <w:szCs w:val="32"/>
        </w:rPr>
        <w:t>附件1</w:t>
      </w:r>
    </w:p>
    <w:p>
      <w:pPr>
        <w:spacing w:line="580" w:lineRule="exact"/>
        <w:jc w:val="left"/>
        <w:rPr>
          <w:rFonts w:hint="eastAsia" w:ascii="Times New Roman" w:hAnsi="Times New Roman" w:eastAsia="黑体" w:cs="黑体"/>
          <w:sz w:val="32"/>
          <w:szCs w:val="32"/>
        </w:rPr>
      </w:pPr>
    </w:p>
    <w:p>
      <w:pPr>
        <w:jc w:val="center"/>
        <w:rPr>
          <w:rFonts w:ascii="宋体" w:hAnsi="宋体" w:cs="等线 Light"/>
          <w:b/>
          <w:bCs/>
          <w:color w:val="000000"/>
          <w:sz w:val="44"/>
          <w:szCs w:val="44"/>
          <w:lang w:val="zh-CN"/>
        </w:rPr>
      </w:pPr>
      <w:r>
        <w:rPr>
          <w:rFonts w:hint="eastAsia" w:ascii="宋体" w:hAnsi="宋体" w:cs="等线 Light"/>
          <w:b/>
          <w:bCs/>
          <w:color w:val="000000"/>
          <w:sz w:val="44"/>
          <w:szCs w:val="44"/>
        </w:rPr>
        <w:t>《大连商品交易所基差交易业务管理办法》修正案</w:t>
      </w:r>
    </w:p>
    <w:p>
      <w:pPr>
        <w:ind w:firstLine="640"/>
        <w:jc w:val="center"/>
        <w:rPr>
          <w:rFonts w:ascii="黑体" w:hAnsi="黑体" w:eastAsia="黑体" w:cs="Times New Roman"/>
        </w:rPr>
      </w:pP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第二条 </w:t>
      </w:r>
      <w:r>
        <w:rPr>
          <w:rFonts w:cs="Times New Roman"/>
          <w:color w:val="000000"/>
          <w:szCs w:val="32"/>
        </w:rPr>
        <w:t>本办法所称基差交易，是指买卖双方在</w:t>
      </w:r>
      <w:r>
        <w:rPr>
          <w:rFonts w:hint="eastAsia" w:cs="Times New Roman"/>
          <w:color w:val="000000"/>
          <w:szCs w:val="32"/>
        </w:rPr>
        <w:t>综合服务</w:t>
      </w:r>
      <w:r>
        <w:rPr>
          <w:rFonts w:cs="Times New Roman"/>
          <w:color w:val="000000"/>
          <w:szCs w:val="32"/>
        </w:rPr>
        <w:t>平台</w:t>
      </w:r>
      <w:r>
        <w:rPr>
          <w:rFonts w:hint="eastAsia" w:cs="Times New Roman"/>
          <w:color w:val="000000"/>
          <w:szCs w:val="32"/>
        </w:rPr>
        <w:t>（以下简称平台）</w:t>
      </w:r>
      <w:r>
        <w:rPr>
          <w:rFonts w:cs="Times New Roman"/>
          <w:color w:val="000000"/>
          <w:szCs w:val="32"/>
        </w:rPr>
        <w:t>签订基差贸易合同并以实物交收方式进行履约的业务活动。</w:t>
      </w:r>
      <w:r>
        <w:rPr>
          <w:rFonts w:cs="Times New Roman"/>
          <w:dstrike/>
          <w:color w:val="000000"/>
          <w:szCs w:val="32"/>
        </w:rPr>
        <w:t>合同成交后可通过转让、回购方式了结</w:t>
      </w:r>
      <w:r>
        <w:rPr>
          <w:rFonts w:hint="eastAsia" w:cs="Times New Roman"/>
          <w:color w:val="000000"/>
          <w:szCs w:val="32"/>
          <w:shd w:val="pct10" w:color="auto" w:fill="FFFFFF"/>
        </w:rPr>
        <w:t>基差交易包括交易商之间的基差交易、交易商与客户之间的基差交易两种</w:t>
      </w:r>
      <w:r>
        <w:rPr>
          <w:rFonts w:cs="Times New Roman"/>
          <w:color w:val="000000"/>
          <w:szCs w:val="32"/>
        </w:rPr>
        <w:t>。</w:t>
      </w: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第四条 </w:t>
      </w:r>
      <w:r>
        <w:rPr>
          <w:rFonts w:cs="Times New Roman"/>
          <w:color w:val="000000"/>
          <w:szCs w:val="32"/>
        </w:rPr>
        <w:t>合同内容包括品种、交易数量、基准期货合约、基差、品级、交货地、最后点价日、最后交收日、点价方、追保方、交易保证金率等基本信息，以及专用、通用合同条款。</w:t>
      </w:r>
      <w:r>
        <w:rPr>
          <w:rFonts w:cs="Times New Roman"/>
          <w:dstrike/>
          <w:color w:val="000000"/>
          <w:szCs w:val="32"/>
        </w:rPr>
        <w:t>合同模板由</w:t>
      </w:r>
      <w:r>
        <w:rPr>
          <w:rFonts w:hint="eastAsia" w:cs="Times New Roman"/>
          <w:dstrike/>
          <w:color w:val="000000"/>
          <w:szCs w:val="32"/>
        </w:rPr>
        <w:t>交易所</w:t>
      </w:r>
      <w:r>
        <w:rPr>
          <w:rFonts w:cs="Times New Roman"/>
          <w:dstrike/>
          <w:color w:val="000000"/>
          <w:szCs w:val="32"/>
        </w:rPr>
        <w:t>制定。</w:t>
      </w:r>
    </w:p>
    <w:p>
      <w:pPr>
        <w:pStyle w:val="6"/>
        <w:tabs>
          <w:tab w:val="left" w:pos="1620"/>
          <w:tab w:val="left" w:pos="1800"/>
        </w:tabs>
        <w:ind w:firstLine="640"/>
        <w:rPr>
          <w:rFonts w:cs="Times New Roman"/>
          <w:color w:val="000000"/>
          <w:szCs w:val="32"/>
        </w:rPr>
      </w:pPr>
      <w:r>
        <w:rPr>
          <w:rFonts w:hint="eastAsia" w:cs="Times New Roman"/>
          <w:color w:val="000000"/>
          <w:szCs w:val="32"/>
        </w:rPr>
        <w:t>第五条 参与基差交易的交易商</w:t>
      </w:r>
      <w:r>
        <w:rPr>
          <w:rFonts w:hint="eastAsia" w:cs="Times New Roman"/>
          <w:dstrike/>
          <w:color w:val="000000"/>
          <w:szCs w:val="32"/>
        </w:rPr>
        <w:t>等</w:t>
      </w:r>
      <w:r>
        <w:rPr>
          <w:rFonts w:hint="eastAsia" w:cs="Times New Roman"/>
          <w:color w:val="000000"/>
          <w:szCs w:val="32"/>
          <w:shd w:val="pct10" w:color="auto" w:fill="FFFFFF"/>
        </w:rPr>
        <w:t>、客户（以下统称交易参与者）以及与基差业务相关的其他</w:t>
      </w:r>
      <w:r>
        <w:rPr>
          <w:rFonts w:cs="Times New Roman"/>
          <w:color w:val="000000"/>
          <w:szCs w:val="32"/>
        </w:rPr>
        <w:t>各</w:t>
      </w:r>
      <w:r>
        <w:rPr>
          <w:rFonts w:hint="eastAsia" w:cs="Times New Roman"/>
          <w:color w:val="000000"/>
          <w:szCs w:val="32"/>
        </w:rPr>
        <w:t>类</w:t>
      </w:r>
      <w:r>
        <w:rPr>
          <w:rFonts w:cs="Times New Roman"/>
          <w:color w:val="000000"/>
          <w:szCs w:val="32"/>
        </w:rPr>
        <w:t>主体应当遵守本办法。</w:t>
      </w:r>
    </w:p>
    <w:p>
      <w:pPr>
        <w:pStyle w:val="6"/>
        <w:tabs>
          <w:tab w:val="left" w:pos="1620"/>
          <w:tab w:val="left" w:pos="1800"/>
        </w:tabs>
        <w:ind w:firstLine="707" w:firstLineChars="221"/>
        <w:rPr>
          <w:rFonts w:cs="Times New Roman"/>
          <w:dstrike/>
          <w:color w:val="000000"/>
          <w:szCs w:val="32"/>
        </w:rPr>
      </w:pPr>
      <w:r>
        <w:rPr>
          <w:rFonts w:hint="eastAsia" w:cs="Times New Roman"/>
          <w:dstrike/>
          <w:color w:val="000000"/>
          <w:szCs w:val="32"/>
        </w:rPr>
        <w:t>第六条</w:t>
      </w:r>
      <w:r>
        <w:rPr>
          <w:rFonts w:cs="Times New Roman"/>
          <w:dstrike/>
          <w:color w:val="000000"/>
          <w:szCs w:val="32"/>
        </w:rPr>
        <w:t xml:space="preserve"> 基差交易采用交易商制度，交易商实行分类管理</w:t>
      </w:r>
      <w:r>
        <w:rPr>
          <w:rFonts w:hint="eastAsia" w:cs="Times New Roman"/>
          <w:dstrike/>
          <w:color w:val="000000"/>
          <w:szCs w:val="32"/>
        </w:rPr>
        <w:t>。</w:t>
      </w:r>
    </w:p>
    <w:p>
      <w:pPr>
        <w:ind w:left="640"/>
        <w:jc w:val="center"/>
        <w:rPr>
          <w:rFonts w:ascii="黑体" w:hAnsi="黑体" w:eastAsia="黑体" w:cs="Times New Roman"/>
          <w:sz w:val="32"/>
        </w:rPr>
      </w:pPr>
      <w:r>
        <w:rPr>
          <w:rFonts w:hint="eastAsia" w:ascii="黑体" w:hAnsi="黑体" w:eastAsia="黑体" w:cs="Times New Roman"/>
          <w:sz w:val="32"/>
        </w:rPr>
        <w:t>第二章 交易</w:t>
      </w:r>
      <w:r>
        <w:rPr>
          <w:rFonts w:hint="eastAsia" w:ascii="黑体" w:hAnsi="黑体" w:eastAsia="黑体" w:cs="Times New Roman"/>
          <w:dstrike/>
          <w:sz w:val="32"/>
        </w:rPr>
        <w:t>商</w:t>
      </w:r>
      <w:r>
        <w:rPr>
          <w:rFonts w:hint="eastAsia" w:ascii="黑体" w:hAnsi="黑体" w:eastAsia="黑体" w:cs="Times New Roman"/>
          <w:sz w:val="32"/>
          <w:shd w:val="pct10" w:color="auto" w:fill="FFFFFF"/>
        </w:rPr>
        <w:t>参与者</w:t>
      </w:r>
      <w:r>
        <w:rPr>
          <w:rFonts w:hint="eastAsia" w:ascii="黑体" w:hAnsi="黑体" w:eastAsia="黑体" w:cs="Times New Roman"/>
          <w:sz w:val="32"/>
        </w:rPr>
        <w:t>管理</w:t>
      </w:r>
    </w:p>
    <w:p>
      <w:pPr>
        <w:pStyle w:val="6"/>
        <w:tabs>
          <w:tab w:val="left" w:pos="1620"/>
          <w:tab w:val="left" w:pos="1800"/>
        </w:tabs>
        <w:ind w:left="710" w:firstLine="0" w:firstLineChars="0"/>
        <w:rPr>
          <w:rFonts w:hint="eastAsia" w:cs="Times New Roman"/>
          <w:color w:val="000000"/>
          <w:szCs w:val="32"/>
        </w:rPr>
      </w:pPr>
      <w:r>
        <w:rPr>
          <w:rFonts w:hint="eastAsia" w:cs="Times New Roman"/>
          <w:color w:val="000000"/>
          <w:szCs w:val="32"/>
        </w:rPr>
        <w:t xml:space="preserve">第七条 </w:t>
      </w:r>
      <w:r>
        <w:rPr>
          <w:rFonts w:cs="Times New Roman"/>
          <w:color w:val="000000"/>
          <w:szCs w:val="32"/>
        </w:rPr>
        <w:t>交易商的权利包括：</w:t>
      </w:r>
    </w:p>
    <w:p>
      <w:pPr>
        <w:pStyle w:val="6"/>
        <w:tabs>
          <w:tab w:val="left" w:pos="1620"/>
          <w:tab w:val="left" w:pos="1800"/>
        </w:tabs>
        <w:ind w:firstLineChars="0"/>
        <w:rPr>
          <w:rFonts w:cs="Times New Roman"/>
          <w:color w:val="000000"/>
          <w:szCs w:val="32"/>
        </w:rPr>
      </w:pPr>
      <w:r>
        <w:rPr>
          <w:rFonts w:hint="eastAsia" w:cs="Times New Roman"/>
          <w:color w:val="000000"/>
          <w:szCs w:val="32"/>
        </w:rPr>
        <w:t>（二）</w:t>
      </w:r>
      <w:r>
        <w:rPr>
          <w:rFonts w:cs="Times New Roman"/>
          <w:color w:val="000000"/>
          <w:szCs w:val="32"/>
        </w:rPr>
        <w:t>AA类、A类、B类交易商具有</w:t>
      </w:r>
      <w:r>
        <w:rPr>
          <w:rFonts w:hint="eastAsia" w:cs="Times New Roman"/>
          <w:color w:val="000000"/>
          <w:szCs w:val="32"/>
          <w:shd w:val="pct10" w:color="auto" w:fill="FFFFFF"/>
        </w:rPr>
        <w:t>按照本办法的规定</w:t>
      </w:r>
      <w:r>
        <w:rPr>
          <w:rFonts w:hint="eastAsia" w:cs="Times New Roman"/>
          <w:dstrike/>
          <w:color w:val="000000"/>
          <w:szCs w:val="32"/>
        </w:rPr>
        <w:t>在平台</w:t>
      </w:r>
      <w:r>
        <w:rPr>
          <w:rFonts w:cs="Times New Roman"/>
          <w:color w:val="000000"/>
          <w:szCs w:val="32"/>
        </w:rPr>
        <w:t>开展</w:t>
      </w:r>
      <w:r>
        <w:rPr>
          <w:rFonts w:hint="eastAsia" w:cs="Times New Roman"/>
          <w:color w:val="000000"/>
          <w:szCs w:val="32"/>
          <w:shd w:val="pct10" w:color="auto" w:fill="FFFFFF"/>
        </w:rPr>
        <w:t>相关</w:t>
      </w:r>
      <w:r>
        <w:rPr>
          <w:rFonts w:cs="Times New Roman"/>
          <w:color w:val="000000"/>
          <w:szCs w:val="32"/>
        </w:rPr>
        <w:t>基差交易的权利</w:t>
      </w:r>
      <w:r>
        <w:rPr>
          <w:rFonts w:hint="eastAsia" w:cs="Times New Roman"/>
          <w:color w:val="000000"/>
          <w:szCs w:val="32"/>
          <w:shd w:val="pct10" w:color="auto" w:fill="FFFFFF"/>
        </w:rPr>
        <w:t>；在交易商之间的基差交易中，</w:t>
      </w:r>
      <w:r>
        <w:rPr>
          <w:rFonts w:hint="eastAsia" w:cs="Times New Roman"/>
          <w:dstrike/>
          <w:color w:val="000000"/>
          <w:szCs w:val="32"/>
        </w:rPr>
        <w:t>其中</w:t>
      </w:r>
      <w:r>
        <w:rPr>
          <w:rFonts w:cs="Times New Roman"/>
          <w:color w:val="000000"/>
          <w:szCs w:val="32"/>
        </w:rPr>
        <w:t>AA类、A类交易商</w:t>
      </w:r>
      <w:r>
        <w:rPr>
          <w:rFonts w:hint="eastAsia" w:cs="Times New Roman"/>
          <w:dstrike/>
          <w:color w:val="000000"/>
          <w:szCs w:val="32"/>
        </w:rPr>
        <w:t>均</w:t>
      </w:r>
      <w:r>
        <w:rPr>
          <w:rFonts w:cs="Times New Roman"/>
          <w:color w:val="000000"/>
          <w:szCs w:val="32"/>
        </w:rPr>
        <w:t>具有签发基差贸易合同的权利，B类交易商不具有该权利；</w:t>
      </w:r>
      <w:r>
        <w:rPr>
          <w:rFonts w:hint="eastAsia" w:cs="Times New Roman"/>
          <w:color w:val="000000"/>
          <w:szCs w:val="32"/>
          <w:shd w:val="pct10" w:color="auto" w:fill="FFFFFF"/>
        </w:rPr>
        <w:t>在交易商与客户之间的基差交易中，各类交易商与客户均有权签发基差贸易合同。</w:t>
      </w:r>
    </w:p>
    <w:p>
      <w:pPr>
        <w:pStyle w:val="6"/>
        <w:widowControl w:val="0"/>
        <w:autoSpaceDE w:val="0"/>
        <w:ind w:firstLine="640"/>
        <w:rPr>
          <w:rFonts w:cs="Times New Roman"/>
          <w:color w:val="000000"/>
          <w:szCs w:val="32"/>
        </w:rPr>
      </w:pPr>
      <w:r>
        <w:rPr>
          <w:rFonts w:hint="eastAsia" w:cs="Times New Roman"/>
          <w:color w:val="000000"/>
        </w:rPr>
        <w:t>第九条 交易商按品种板块管理，品种板块设置与场外会员相同。经交易所审核批准后，交易商仅能进行相应品种板块的基差交易。</w:t>
      </w:r>
      <w:r>
        <w:rPr>
          <w:rFonts w:hint="eastAsia" w:cs="Times New Roman"/>
          <w:dstrike/>
          <w:color w:val="000000"/>
        </w:rPr>
        <w:t>除另有规定外，每个品种板块内的所有交易商之间均为当然的、合格的交易对手。</w:t>
      </w:r>
    </w:p>
    <w:p>
      <w:pPr>
        <w:pStyle w:val="6"/>
        <w:tabs>
          <w:tab w:val="left" w:pos="1620"/>
          <w:tab w:val="left" w:pos="1800"/>
        </w:tabs>
        <w:ind w:firstLine="640"/>
        <w:rPr>
          <w:rFonts w:cs="Times New Roman"/>
          <w:color w:val="000000"/>
          <w:szCs w:val="32"/>
        </w:rPr>
      </w:pPr>
      <w:r>
        <w:rPr>
          <w:rFonts w:hint="eastAsia" w:cs="Times New Roman"/>
          <w:color w:val="000000"/>
          <w:szCs w:val="32"/>
        </w:rPr>
        <w:t>第十三条 申请成为B类交易商，应当向交易所提交以下材料：</w:t>
      </w:r>
    </w:p>
    <w:p>
      <w:pPr>
        <w:pStyle w:val="6"/>
        <w:tabs>
          <w:tab w:val="left" w:pos="1620"/>
          <w:tab w:val="left" w:pos="1800"/>
        </w:tabs>
        <w:ind w:firstLine="640"/>
        <w:rPr>
          <w:rFonts w:cs="Times New Roman"/>
          <w:color w:val="000000"/>
          <w:szCs w:val="32"/>
        </w:rPr>
      </w:pPr>
      <w:r>
        <w:rPr>
          <w:rFonts w:cs="Times New Roman"/>
          <w:color w:val="000000"/>
          <w:szCs w:val="32"/>
        </w:rPr>
        <w:t>……</w:t>
      </w:r>
    </w:p>
    <w:p>
      <w:pPr>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申请</w:t>
      </w:r>
      <w:r>
        <w:rPr>
          <w:rFonts w:hint="eastAsia" w:ascii="Times New Roman" w:hAnsi="Times New Roman" w:eastAsia="仿宋_GB2312" w:cs="Times New Roman"/>
          <w:dstrike/>
          <w:color w:val="000000"/>
          <w:sz w:val="32"/>
          <w:szCs w:val="32"/>
        </w:rPr>
        <w:t>单位</w:t>
      </w:r>
      <w:r>
        <w:rPr>
          <w:rFonts w:hint="eastAsia" w:ascii="Times New Roman" w:hAnsi="Times New Roman" w:eastAsia="仿宋_GB2312" w:cs="Times New Roman"/>
          <w:color w:val="000000"/>
          <w:sz w:val="32"/>
          <w:szCs w:val="32"/>
          <w:shd w:val="pct10" w:color="auto" w:fill="FFFFFF"/>
        </w:rPr>
        <w:t>人</w:t>
      </w:r>
      <w:r>
        <w:rPr>
          <w:rFonts w:ascii="Times New Roman" w:hAnsi="Times New Roman" w:eastAsia="仿宋_GB2312" w:cs="Times New Roman"/>
          <w:color w:val="000000"/>
          <w:sz w:val="32"/>
          <w:szCs w:val="32"/>
        </w:rPr>
        <w:t>为期货公司风险管理公司的，还应提供基差交易业务在中国期货业协会备案和所属期货公司最近一期分类评级的证明材料；</w:t>
      </w:r>
    </w:p>
    <w:p>
      <w:pPr>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p>
    <w:p>
      <w:pPr>
        <w:pStyle w:val="6"/>
        <w:tabs>
          <w:tab w:val="left" w:pos="1620"/>
          <w:tab w:val="left" w:pos="1800"/>
        </w:tabs>
        <w:ind w:firstLine="640"/>
        <w:rPr>
          <w:rFonts w:cs="Times New Roman"/>
          <w:bCs/>
          <w:color w:val="000000"/>
          <w:szCs w:val="32"/>
        </w:rPr>
      </w:pPr>
      <w:r>
        <w:rPr>
          <w:rFonts w:hint="eastAsia" w:cs="仿宋_GB2312"/>
          <w:color w:val="000000"/>
          <w:szCs w:val="32"/>
        </w:rPr>
        <w:t xml:space="preserve">第十六条 </w:t>
      </w:r>
      <w:r>
        <w:rPr>
          <w:rFonts w:cs="仿宋_GB2312"/>
          <w:color w:val="000000"/>
          <w:szCs w:val="32"/>
          <w:shd w:val="pct10" w:color="auto" w:fill="FFFFFF"/>
        </w:rPr>
        <w:t>交易所可以根据申请人的财务状况、 风险管理能力、 运营稳健程度以及申请人提交的书面承诺等材料，豁免上述一项或者多项条件。</w:t>
      </w:r>
      <w:r>
        <w:rPr>
          <w:rFonts w:hint="eastAsia" w:cs="Times New Roman"/>
          <w:color w:val="000000"/>
          <w:szCs w:val="32"/>
        </w:rPr>
        <w:t>经交易所批准后，申请</w:t>
      </w:r>
      <w:r>
        <w:rPr>
          <w:rFonts w:hint="eastAsia" w:cs="Times New Roman"/>
          <w:dstrike/>
          <w:color w:val="000000"/>
          <w:szCs w:val="32"/>
        </w:rPr>
        <w:t>单位</w:t>
      </w:r>
      <w:r>
        <w:rPr>
          <w:rFonts w:hint="eastAsia" w:cs="Times New Roman"/>
          <w:color w:val="000000"/>
          <w:szCs w:val="32"/>
          <w:shd w:val="pct10" w:color="auto" w:fill="FFFFFF"/>
        </w:rPr>
        <w:t>人</w:t>
      </w:r>
      <w:r>
        <w:rPr>
          <w:rFonts w:hint="eastAsia" w:cs="Times New Roman"/>
          <w:color w:val="000000"/>
          <w:szCs w:val="32"/>
        </w:rPr>
        <w:t>应当与交易所及相关各方签订协议，参与基差交易。</w:t>
      </w:r>
    </w:p>
    <w:p>
      <w:pPr>
        <w:pStyle w:val="3"/>
        <w:numPr>
          <w:ilvl w:val="0"/>
          <w:numId w:val="0"/>
        </w:numPr>
        <w:spacing w:beforeAutospacing="0" w:afterAutospacing="0" w:line="580" w:lineRule="exact"/>
        <w:jc w:val="center"/>
        <w:rPr>
          <w:rFonts w:ascii="Times New Roman" w:hAnsi="Times New Roman" w:eastAsia="仿宋_GB2312" w:cs="Times New Roman"/>
          <w:bCs/>
          <w:color w:val="000000"/>
          <w:sz w:val="32"/>
          <w:szCs w:val="32"/>
          <w:shd w:val="pct10" w:color="auto" w:fill="FFFFFF"/>
        </w:rPr>
      </w:pPr>
      <w:r>
        <w:rPr>
          <w:rFonts w:hint="eastAsia" w:ascii="Times New Roman" w:hAnsi="Times New Roman" w:eastAsia="仿宋_GB2312" w:cs="Times New Roman"/>
          <w:bCs/>
          <w:color w:val="000000"/>
          <w:sz w:val="32"/>
          <w:szCs w:val="32"/>
          <w:shd w:val="pct10" w:color="auto" w:fill="FFFFFF"/>
        </w:rPr>
        <w:t>第四节 客户管理</w:t>
      </w:r>
    </w:p>
    <w:p>
      <w:pPr>
        <w:pStyle w:val="6"/>
        <w:tabs>
          <w:tab w:val="left" w:pos="1620"/>
          <w:tab w:val="left" w:pos="1800"/>
        </w:tabs>
        <w:ind w:left="989" w:firstLine="0" w:firstLineChars="0"/>
        <w:jc w:val="both"/>
        <w:rPr>
          <w:rFonts w:cs="Times New Roman"/>
          <w:color w:val="000000"/>
          <w:szCs w:val="32"/>
          <w:shd w:val="pct10" w:color="auto" w:fill="FFFFFF"/>
        </w:rPr>
      </w:pPr>
      <w:r>
        <w:rPr>
          <w:rStyle w:val="7"/>
          <w:rFonts w:hint="eastAsia"/>
          <w:shd w:val="pct10" w:color="auto" w:fill="FFFFFF"/>
        </w:rPr>
        <w:t xml:space="preserve">第二十三条 </w:t>
      </w:r>
      <w:r>
        <w:rPr>
          <w:rStyle w:val="7"/>
          <w:shd w:val="pct10" w:color="auto" w:fill="FFFFFF"/>
        </w:rPr>
        <w:t>申请成为客户应当具备以下条件：</w:t>
      </w:r>
    </w:p>
    <w:p>
      <w:pPr>
        <w:widowControl/>
        <w:numPr>
          <w:ilvl w:val="0"/>
          <w:numId w:val="1"/>
        </w:numPr>
        <w:spacing w:line="580" w:lineRule="exact"/>
        <w:ind w:left="229" w:leftChars="109" w:firstLine="608" w:firstLineChars="190"/>
        <w:rPr>
          <w:rFonts w:ascii="Times New Roman" w:hAnsi="Times New Roman" w:eastAsia="仿宋_GB2312" w:cs="Times New Roman"/>
          <w:color w:val="000000"/>
          <w:sz w:val="32"/>
          <w:szCs w:val="32"/>
          <w:shd w:val="pct10" w:color="auto" w:fill="FFFFFF"/>
        </w:rPr>
      </w:pPr>
      <w:r>
        <w:rPr>
          <w:rFonts w:ascii="Times New Roman" w:hAnsi="Times New Roman" w:eastAsia="仿宋_GB2312" w:cs="Times New Roman"/>
          <w:color w:val="000000"/>
          <w:sz w:val="32"/>
          <w:szCs w:val="32"/>
          <w:shd w:val="pct10" w:color="auto" w:fill="FFFFFF"/>
        </w:rPr>
        <w:t>经工商行政管理部门注册登记，具有所参与交易品种合法经营资格的法人；</w:t>
      </w:r>
    </w:p>
    <w:p>
      <w:pPr>
        <w:widowControl/>
        <w:numPr>
          <w:ilvl w:val="0"/>
          <w:numId w:val="1"/>
        </w:numPr>
        <w:spacing w:line="580" w:lineRule="exact"/>
        <w:ind w:left="229" w:leftChars="109" w:firstLine="608" w:firstLineChars="190"/>
        <w:rPr>
          <w:rFonts w:ascii="Times New Roman" w:hAnsi="Times New Roman" w:eastAsia="仿宋_GB2312" w:cs="仿宋_GB2312"/>
          <w:color w:val="000000"/>
          <w:sz w:val="32"/>
          <w:szCs w:val="32"/>
          <w:shd w:val="pct10" w:color="auto" w:fill="FFFFFF"/>
        </w:rPr>
      </w:pPr>
      <w:r>
        <w:rPr>
          <w:rFonts w:hint="eastAsia" w:ascii="Times New Roman" w:hAnsi="Times New Roman" w:eastAsia="仿宋_GB2312" w:cs="仿宋_GB2312"/>
          <w:color w:val="000000"/>
          <w:sz w:val="32"/>
          <w:szCs w:val="32"/>
          <w:shd w:val="pct10" w:color="auto" w:fill="FFFFFF"/>
        </w:rPr>
        <w:t>承认并遵守相关政府监管部门的法律法规、本办法以及交易所公布的规则与规定；</w:t>
      </w:r>
    </w:p>
    <w:p>
      <w:pPr>
        <w:widowControl/>
        <w:numPr>
          <w:ilvl w:val="0"/>
          <w:numId w:val="1"/>
        </w:numPr>
        <w:spacing w:line="580" w:lineRule="exact"/>
        <w:ind w:left="229" w:leftChars="109" w:firstLine="608" w:firstLineChars="190"/>
        <w:rPr>
          <w:rFonts w:ascii="Times New Roman" w:hAnsi="Times New Roman" w:eastAsia="仿宋_GB2312" w:cs="仿宋_GB2312"/>
          <w:color w:val="000000"/>
          <w:sz w:val="32"/>
          <w:szCs w:val="32"/>
          <w:shd w:val="pct10" w:color="auto" w:fill="FFFFFF"/>
        </w:rPr>
      </w:pPr>
      <w:r>
        <w:rPr>
          <w:rFonts w:hint="eastAsia" w:ascii="Times New Roman" w:hAnsi="Times New Roman" w:eastAsia="仿宋_GB2312" w:cs="仿宋_GB2312"/>
          <w:color w:val="000000"/>
          <w:sz w:val="32"/>
          <w:szCs w:val="32"/>
          <w:shd w:val="pct10" w:color="auto" w:fill="FFFFFF"/>
        </w:rPr>
        <w:t>最近12个月未受到刑事处罚或者</w:t>
      </w:r>
      <w:r>
        <w:rPr>
          <w:rFonts w:hint="eastAsia" w:ascii="Times New Roman" w:hAnsi="Times New Roman" w:eastAsia="仿宋_GB2312" w:cs="仿宋_GB2312"/>
          <w:sz w:val="32"/>
          <w:szCs w:val="32"/>
          <w:shd w:val="pct10" w:color="auto" w:fill="FFFFFF"/>
        </w:rPr>
        <w:t>责令停产停业、吊销许可证或执照的行政处罚</w:t>
      </w:r>
      <w:r>
        <w:rPr>
          <w:rFonts w:hint="eastAsia" w:ascii="Times New Roman" w:hAnsi="Times New Roman" w:eastAsia="仿宋_GB2312" w:cs="仿宋_GB2312"/>
          <w:color w:val="000000"/>
          <w:sz w:val="32"/>
          <w:szCs w:val="32"/>
          <w:shd w:val="pct10" w:color="auto" w:fill="FFFFFF"/>
        </w:rPr>
        <w:t>；</w:t>
      </w:r>
    </w:p>
    <w:p>
      <w:pPr>
        <w:widowControl/>
        <w:numPr>
          <w:ilvl w:val="0"/>
          <w:numId w:val="1"/>
        </w:numPr>
        <w:spacing w:line="580" w:lineRule="exact"/>
        <w:ind w:left="229" w:leftChars="109" w:firstLine="608" w:firstLineChars="190"/>
        <w:rPr>
          <w:rFonts w:ascii="Times New Roman" w:hAnsi="Times New Roman" w:eastAsia="仿宋_GB2312" w:cs="仿宋_GB2312"/>
          <w:color w:val="000000"/>
          <w:sz w:val="32"/>
          <w:szCs w:val="32"/>
          <w:shd w:val="pct10" w:color="auto" w:fill="FFFFFF"/>
        </w:rPr>
      </w:pPr>
      <w:r>
        <w:rPr>
          <w:rFonts w:hint="eastAsia" w:ascii="Times New Roman" w:hAnsi="Times New Roman" w:eastAsia="仿宋_GB2312" w:cs="仿宋_GB2312"/>
          <w:color w:val="000000"/>
          <w:sz w:val="32"/>
          <w:szCs w:val="32"/>
          <w:shd w:val="pct10" w:color="auto" w:fill="FFFFFF"/>
        </w:rPr>
        <w:t>与交易商建立互相同意对方为交易对手的认可关系；</w:t>
      </w:r>
    </w:p>
    <w:p>
      <w:pPr>
        <w:widowControl/>
        <w:numPr>
          <w:ilvl w:val="0"/>
          <w:numId w:val="1"/>
        </w:numPr>
        <w:spacing w:line="580" w:lineRule="exact"/>
        <w:ind w:firstLine="960"/>
        <w:jc w:val="left"/>
        <w:rPr>
          <w:rFonts w:ascii="Times New Roman" w:hAnsi="Times New Roman" w:eastAsia="仿宋_GB2312" w:cs="仿宋_GB2312"/>
          <w:color w:val="000000"/>
          <w:sz w:val="32"/>
          <w:szCs w:val="32"/>
          <w:shd w:val="pct10" w:color="auto" w:fill="FFFFFF"/>
        </w:rPr>
      </w:pPr>
      <w:r>
        <w:rPr>
          <w:rFonts w:hint="eastAsia" w:ascii="Times New Roman" w:hAnsi="Times New Roman" w:eastAsia="仿宋_GB2312" w:cs="仿宋_GB2312"/>
          <w:color w:val="000000"/>
          <w:sz w:val="32"/>
          <w:szCs w:val="32"/>
          <w:shd w:val="pct10" w:color="auto" w:fill="FFFFFF"/>
        </w:rPr>
        <w:t>交易所认定的其他条件。</w:t>
      </w:r>
    </w:p>
    <w:p>
      <w:pPr>
        <w:ind w:firstLine="640"/>
        <w:rPr>
          <w:rFonts w:ascii="Times New Roman" w:hAnsi="Times New Roman" w:eastAsia="仿宋_GB2312" w:cs="仿宋_GB2312"/>
          <w:color w:val="000000"/>
          <w:sz w:val="32"/>
          <w:szCs w:val="32"/>
          <w:shd w:val="pct10" w:color="auto" w:fill="FFFFFF"/>
        </w:rPr>
      </w:pPr>
      <w:r>
        <w:rPr>
          <w:rFonts w:ascii="Times New Roman" w:hAnsi="Times New Roman" w:eastAsia="仿宋_GB2312" w:cs="仿宋_GB2312"/>
          <w:color w:val="000000"/>
          <w:sz w:val="32"/>
          <w:szCs w:val="32"/>
          <w:shd w:val="pct10" w:color="auto" w:fill="FFFFFF"/>
        </w:rPr>
        <w:t>交易所可以根据申请人的财务状况、 风险管理能力、 运营稳健程度以及申请人提交的书面承诺等材料，豁免上述一项或者多项条件。</w:t>
      </w:r>
      <w:r>
        <w:rPr>
          <w:rFonts w:ascii="Times New Roman" w:hAnsi="Times New Roman" w:eastAsia="仿宋_GB2312" w:cs="宋体"/>
          <w:sz w:val="32"/>
          <w:shd w:val="pct10" w:color="auto" w:fill="FFFFFF"/>
        </w:rPr>
        <w:t xml:space="preserve"> </w:t>
      </w:r>
    </w:p>
    <w:p>
      <w:pPr>
        <w:pStyle w:val="6"/>
        <w:tabs>
          <w:tab w:val="left" w:pos="1620"/>
          <w:tab w:val="left" w:pos="1800"/>
        </w:tabs>
        <w:adjustRightInd w:val="0"/>
        <w:snapToGrid w:val="0"/>
        <w:ind w:left="989" w:firstLine="0" w:firstLineChars="0"/>
        <w:rPr>
          <w:rFonts w:cs="Times New Roman"/>
          <w:szCs w:val="32"/>
          <w:shd w:val="pct10" w:color="auto" w:fill="FFFFFF"/>
        </w:rPr>
      </w:pPr>
      <w:r>
        <w:rPr>
          <w:rStyle w:val="7"/>
          <w:rFonts w:hint="eastAsia"/>
          <w:shd w:val="pct10" w:color="auto" w:fill="FFFFFF"/>
        </w:rPr>
        <w:t xml:space="preserve">第二十四条 </w:t>
      </w:r>
      <w:r>
        <w:rPr>
          <w:rStyle w:val="7"/>
          <w:shd w:val="pct10" w:color="auto" w:fill="FFFFFF"/>
        </w:rPr>
        <w:t>申请</w:t>
      </w:r>
      <w:r>
        <w:rPr>
          <w:rFonts w:cs="Times New Roman"/>
          <w:szCs w:val="32"/>
          <w:shd w:val="pct10" w:color="auto" w:fill="FFFFFF"/>
        </w:rPr>
        <w:t>成为</w:t>
      </w:r>
      <w:r>
        <w:rPr>
          <w:rFonts w:hint="eastAsia" w:cs="Times New Roman"/>
          <w:szCs w:val="32"/>
          <w:shd w:val="pct10" w:color="auto" w:fill="FFFFFF"/>
        </w:rPr>
        <w:t>客户</w:t>
      </w:r>
      <w:r>
        <w:rPr>
          <w:rFonts w:cs="Times New Roman"/>
          <w:szCs w:val="32"/>
          <w:shd w:val="pct10" w:color="auto" w:fill="FFFFFF"/>
        </w:rPr>
        <w:t>应当提交以下</w:t>
      </w:r>
      <w:r>
        <w:rPr>
          <w:rFonts w:hint="eastAsia" w:cs="Times New Roman"/>
          <w:szCs w:val="32"/>
          <w:shd w:val="pct10" w:color="auto" w:fill="FFFFFF"/>
        </w:rPr>
        <w:t>书面</w:t>
      </w:r>
      <w:r>
        <w:rPr>
          <w:rFonts w:cs="Times New Roman"/>
          <w:szCs w:val="32"/>
          <w:shd w:val="pct10" w:color="auto" w:fill="FFFFFF"/>
        </w:rPr>
        <w:t>材料：</w:t>
      </w:r>
    </w:p>
    <w:p>
      <w:pPr>
        <w:widowControl/>
        <w:numPr>
          <w:ilvl w:val="0"/>
          <w:numId w:val="2"/>
        </w:numPr>
        <w:spacing w:line="580" w:lineRule="exact"/>
        <w:ind w:left="229" w:leftChars="109" w:firstLine="608" w:firstLineChars="190"/>
        <w:rPr>
          <w:rFonts w:ascii="Times New Roman" w:hAnsi="Times New Roman" w:eastAsia="仿宋_GB2312" w:cs="仿宋_GB2312"/>
          <w:color w:val="000000"/>
          <w:sz w:val="32"/>
          <w:szCs w:val="32"/>
          <w:shd w:val="pct10" w:color="auto" w:fill="FFFFFF"/>
        </w:rPr>
      </w:pPr>
      <w:r>
        <w:rPr>
          <w:rFonts w:ascii="Times New Roman" w:hAnsi="Times New Roman" w:eastAsia="仿宋_GB2312" w:cs="仿宋_GB2312"/>
          <w:color w:val="000000"/>
          <w:sz w:val="32"/>
          <w:szCs w:val="32"/>
          <w:shd w:val="pct10" w:color="auto" w:fill="FFFFFF"/>
        </w:rPr>
        <w:t>营业执照复印件；</w:t>
      </w:r>
    </w:p>
    <w:p>
      <w:pPr>
        <w:widowControl/>
        <w:numPr>
          <w:ilvl w:val="0"/>
          <w:numId w:val="2"/>
        </w:numPr>
        <w:spacing w:line="580" w:lineRule="exact"/>
        <w:ind w:left="229" w:leftChars="109" w:firstLine="608" w:firstLineChars="190"/>
        <w:rPr>
          <w:rFonts w:ascii="Times New Roman" w:hAnsi="Times New Roman" w:eastAsia="仿宋_GB2312" w:cs="仿宋_GB2312"/>
          <w:color w:val="000000"/>
          <w:sz w:val="32"/>
          <w:szCs w:val="32"/>
          <w:shd w:val="pct10" w:color="auto" w:fill="FFFFFF"/>
        </w:rPr>
      </w:pPr>
      <w:r>
        <w:rPr>
          <w:rFonts w:ascii="Times New Roman" w:hAnsi="Times New Roman" w:eastAsia="仿宋_GB2312" w:cs="仿宋_GB2312"/>
          <w:color w:val="000000"/>
          <w:sz w:val="32"/>
          <w:szCs w:val="32"/>
          <w:shd w:val="pct10" w:color="auto" w:fill="FFFFFF"/>
        </w:rPr>
        <w:t>综合服务平台用户开户申请表；</w:t>
      </w:r>
    </w:p>
    <w:p>
      <w:pPr>
        <w:widowControl/>
        <w:numPr>
          <w:ilvl w:val="0"/>
          <w:numId w:val="2"/>
        </w:numPr>
        <w:spacing w:line="580" w:lineRule="exact"/>
        <w:ind w:left="229" w:leftChars="109" w:firstLine="608" w:firstLineChars="190"/>
        <w:rPr>
          <w:rFonts w:ascii="Times New Roman" w:hAnsi="Times New Roman" w:eastAsia="仿宋_GB2312" w:cs="仿宋_GB2312"/>
          <w:color w:val="000000"/>
          <w:sz w:val="32"/>
          <w:szCs w:val="32"/>
          <w:shd w:val="pct10" w:color="auto" w:fill="FFFFFF"/>
        </w:rPr>
      </w:pPr>
      <w:r>
        <w:rPr>
          <w:rFonts w:hint="eastAsia" w:ascii="Times New Roman" w:hAnsi="Times New Roman" w:eastAsia="仿宋_GB2312" w:cs="仿宋_GB2312"/>
          <w:color w:val="000000"/>
          <w:sz w:val="32"/>
          <w:szCs w:val="32"/>
          <w:shd w:val="pct10" w:color="auto" w:fill="FFFFFF"/>
        </w:rPr>
        <w:t>申请</w:t>
      </w:r>
      <w:r>
        <w:rPr>
          <w:rFonts w:ascii="Times New Roman" w:hAnsi="Times New Roman" w:eastAsia="仿宋_GB2312" w:cs="仿宋_GB2312"/>
          <w:color w:val="000000"/>
          <w:sz w:val="32"/>
          <w:szCs w:val="32"/>
          <w:shd w:val="pct10" w:color="auto" w:fill="FFFFFF"/>
        </w:rPr>
        <w:t>人的授权书及经办人员的身份证明文件；</w:t>
      </w:r>
    </w:p>
    <w:p>
      <w:pPr>
        <w:widowControl/>
        <w:numPr>
          <w:ilvl w:val="0"/>
          <w:numId w:val="2"/>
        </w:numPr>
        <w:spacing w:line="580" w:lineRule="exact"/>
        <w:ind w:left="229" w:leftChars="109" w:firstLine="608" w:firstLineChars="190"/>
        <w:rPr>
          <w:rFonts w:ascii="Times New Roman" w:hAnsi="Times New Roman" w:eastAsia="仿宋_GB2312" w:cs="仿宋_GB2312"/>
          <w:color w:val="000000"/>
          <w:sz w:val="32"/>
          <w:szCs w:val="32"/>
          <w:shd w:val="pct10" w:color="auto" w:fill="FFFFFF"/>
        </w:rPr>
      </w:pPr>
      <w:r>
        <w:rPr>
          <w:rFonts w:hint="eastAsia" w:ascii="Times New Roman" w:hAnsi="Times New Roman" w:eastAsia="仿宋_GB2312" w:cs="仿宋_GB2312"/>
          <w:color w:val="000000"/>
          <w:sz w:val="32"/>
          <w:szCs w:val="32"/>
          <w:shd w:val="pct10" w:color="auto" w:fill="FFFFFF"/>
        </w:rPr>
        <w:t>无重大违法违规记录承诺函；</w:t>
      </w:r>
    </w:p>
    <w:p>
      <w:pPr>
        <w:widowControl/>
        <w:numPr>
          <w:ilvl w:val="0"/>
          <w:numId w:val="2"/>
        </w:numPr>
        <w:spacing w:line="580" w:lineRule="exact"/>
        <w:ind w:left="229" w:leftChars="109" w:firstLine="608" w:firstLineChars="190"/>
        <w:rPr>
          <w:rFonts w:ascii="Times New Roman" w:hAnsi="Times New Roman" w:eastAsia="仿宋_GB2312" w:cs="仿宋_GB2312"/>
          <w:color w:val="000000"/>
          <w:sz w:val="32"/>
          <w:szCs w:val="32"/>
          <w:shd w:val="pct10" w:color="auto" w:fill="FFFFFF"/>
        </w:rPr>
      </w:pPr>
      <w:r>
        <w:rPr>
          <w:rFonts w:hint="eastAsia" w:ascii="Times New Roman" w:hAnsi="Times New Roman" w:eastAsia="仿宋_GB2312" w:cs="仿宋_GB2312"/>
          <w:color w:val="000000"/>
          <w:sz w:val="32"/>
          <w:szCs w:val="32"/>
          <w:shd w:val="pct10" w:color="auto" w:fill="FFFFFF"/>
        </w:rPr>
        <w:t>申请人和</w:t>
      </w:r>
      <w:r>
        <w:rPr>
          <w:rFonts w:ascii="Times New Roman" w:hAnsi="Times New Roman" w:eastAsia="仿宋_GB2312" w:cs="仿宋_GB2312"/>
          <w:color w:val="000000"/>
          <w:sz w:val="32"/>
          <w:szCs w:val="32"/>
          <w:shd w:val="pct10" w:color="auto" w:fill="FFFFFF"/>
        </w:rPr>
        <w:t>交易商</w:t>
      </w:r>
      <w:r>
        <w:rPr>
          <w:rFonts w:hint="eastAsia" w:ascii="Times New Roman" w:hAnsi="Times New Roman" w:eastAsia="仿宋_GB2312" w:cs="仿宋_GB2312"/>
          <w:color w:val="000000"/>
          <w:sz w:val="32"/>
          <w:szCs w:val="32"/>
          <w:shd w:val="pct10" w:color="auto" w:fill="FFFFFF"/>
        </w:rPr>
        <w:t>互相认可对方为交易对手</w:t>
      </w:r>
      <w:r>
        <w:rPr>
          <w:rFonts w:ascii="Times New Roman" w:hAnsi="Times New Roman" w:eastAsia="仿宋_GB2312" w:cs="仿宋_GB2312"/>
          <w:color w:val="000000"/>
          <w:sz w:val="32"/>
          <w:szCs w:val="32"/>
          <w:shd w:val="pct10" w:color="auto" w:fill="FFFFFF"/>
        </w:rPr>
        <w:t>的</w:t>
      </w:r>
      <w:r>
        <w:rPr>
          <w:rFonts w:hint="eastAsia" w:ascii="Times New Roman" w:hAnsi="Times New Roman" w:eastAsia="仿宋_GB2312" w:cs="仿宋_GB2312"/>
          <w:color w:val="000000"/>
          <w:sz w:val="32"/>
          <w:szCs w:val="32"/>
          <w:shd w:val="pct10" w:color="auto" w:fill="FFFFFF"/>
        </w:rPr>
        <w:t>证明材料；</w:t>
      </w:r>
    </w:p>
    <w:p>
      <w:pPr>
        <w:widowControl/>
        <w:numPr>
          <w:ilvl w:val="0"/>
          <w:numId w:val="2"/>
        </w:numPr>
        <w:spacing w:line="580" w:lineRule="exact"/>
        <w:ind w:left="229" w:leftChars="109" w:firstLine="608" w:firstLineChars="190"/>
        <w:rPr>
          <w:rFonts w:ascii="Times New Roman" w:hAnsi="Times New Roman" w:eastAsia="仿宋_GB2312" w:cs="仿宋_GB2312"/>
          <w:color w:val="000000"/>
          <w:sz w:val="32"/>
          <w:szCs w:val="32"/>
          <w:shd w:val="pct10" w:color="auto" w:fill="FFFFFF"/>
        </w:rPr>
      </w:pPr>
      <w:r>
        <w:rPr>
          <w:rFonts w:ascii="Times New Roman" w:hAnsi="Times New Roman" w:eastAsia="仿宋_GB2312" w:cs="仿宋_GB2312"/>
          <w:color w:val="000000"/>
          <w:sz w:val="32"/>
          <w:szCs w:val="32"/>
          <w:shd w:val="pct10" w:color="auto" w:fill="FFFFFF"/>
        </w:rPr>
        <w:t>交易所要求的其他材料。</w:t>
      </w:r>
    </w:p>
    <w:p>
      <w:pPr>
        <w:numPr>
          <w:ilvl w:val="0"/>
          <w:numId w:val="0"/>
        </w:numPr>
        <w:ind w:firstLine="640" w:firstLineChars="200"/>
        <w:rPr>
          <w:rFonts w:ascii="Times New Roman" w:hAnsi="Times New Roman" w:eastAsia="仿宋_GB2312" w:cs="Times New Roman"/>
          <w:color w:val="000000"/>
          <w:sz w:val="32"/>
          <w:szCs w:val="32"/>
          <w:shd w:val="pct10" w:color="auto" w:fill="FFFFFF"/>
        </w:rPr>
      </w:pPr>
      <w:r>
        <w:rPr>
          <w:rFonts w:hint="eastAsia" w:ascii="Times New Roman" w:hAnsi="Times New Roman" w:eastAsia="仿宋_GB2312" w:cs="Times New Roman"/>
          <w:color w:val="000000"/>
          <w:sz w:val="32"/>
          <w:szCs w:val="32"/>
          <w:shd w:val="pct10" w:color="auto" w:fill="FFFFFF"/>
        </w:rPr>
        <w:t>上述资料均须加盖申请人公章，交易商出具的第（五）项证明材料须加盖交易商公章。申请人提交的材料应当真实、准确、完整。</w:t>
      </w:r>
    </w:p>
    <w:p>
      <w:pPr>
        <w:pStyle w:val="6"/>
        <w:tabs>
          <w:tab w:val="left" w:pos="1620"/>
          <w:tab w:val="left" w:pos="1800"/>
        </w:tabs>
        <w:ind w:firstLine="640"/>
        <w:jc w:val="both"/>
        <w:rPr>
          <w:rFonts w:cs="Times New Roman"/>
          <w:color w:val="000000"/>
          <w:szCs w:val="32"/>
          <w:shd w:val="pct10" w:color="auto" w:fill="FFFFFF"/>
        </w:rPr>
      </w:pPr>
      <w:r>
        <w:rPr>
          <w:rStyle w:val="7"/>
          <w:rFonts w:hint="eastAsia"/>
          <w:shd w:val="pct10" w:color="auto" w:fill="FFFFFF"/>
        </w:rPr>
        <w:t xml:space="preserve">第二十五条 </w:t>
      </w:r>
      <w:r>
        <w:rPr>
          <w:rFonts w:hint="eastAsia" w:cs="Times New Roman"/>
          <w:color w:val="000000"/>
          <w:szCs w:val="32"/>
          <w:shd w:val="pct10" w:color="auto" w:fill="FFFFFF"/>
        </w:rPr>
        <w:t>客户开展基差交易业务前，应当与交易所签订相关协议，明确双方的权利和义务。</w:t>
      </w:r>
    </w:p>
    <w:p>
      <w:pPr>
        <w:pStyle w:val="6"/>
        <w:tabs>
          <w:tab w:val="left" w:pos="1620"/>
          <w:tab w:val="left" w:pos="1800"/>
        </w:tabs>
        <w:ind w:firstLine="640"/>
        <w:jc w:val="both"/>
        <w:rPr>
          <w:rFonts w:cs="Times New Roman"/>
          <w:color w:val="000000"/>
          <w:szCs w:val="32"/>
          <w:shd w:val="pct10" w:color="auto" w:fill="FFFFFF"/>
        </w:rPr>
      </w:pPr>
      <w:r>
        <w:rPr>
          <w:rStyle w:val="7"/>
          <w:rFonts w:hint="eastAsia"/>
          <w:shd w:val="pct10" w:color="auto" w:fill="FFFFFF"/>
        </w:rPr>
        <w:t xml:space="preserve">第二十六条 </w:t>
      </w:r>
      <w:r>
        <w:rPr>
          <w:rFonts w:hint="eastAsia" w:cs="Times New Roman"/>
          <w:color w:val="000000"/>
          <w:szCs w:val="32"/>
          <w:shd w:val="pct10" w:color="auto" w:fill="FFFFFF"/>
        </w:rPr>
        <w:t>建立认可关系的客户与交易商之间只能开展该交易商获批的品种板块基差交易。</w:t>
      </w:r>
    </w:p>
    <w:p>
      <w:pPr>
        <w:pStyle w:val="6"/>
        <w:tabs>
          <w:tab w:val="left" w:pos="1620"/>
          <w:tab w:val="left" w:pos="1800"/>
        </w:tabs>
        <w:ind w:firstLine="640"/>
        <w:rPr>
          <w:rFonts w:cs="Times New Roman"/>
          <w:szCs w:val="32"/>
          <w:shd w:val="pct10" w:color="auto" w:fill="FFFFFF"/>
        </w:rPr>
      </w:pPr>
      <w:r>
        <w:rPr>
          <w:rStyle w:val="7"/>
          <w:rFonts w:hint="eastAsia"/>
          <w:shd w:val="pct10" w:color="auto" w:fill="FFFFFF"/>
        </w:rPr>
        <w:t xml:space="preserve">第二十七条 </w:t>
      </w:r>
      <w:r>
        <w:rPr>
          <w:rFonts w:hint="eastAsia" w:cs="Times New Roman"/>
          <w:szCs w:val="32"/>
          <w:shd w:val="pct10" w:color="auto" w:fill="FFFFFF"/>
        </w:rPr>
        <w:t>客户存在下列情形之一的，交易所有权取消其资格：</w:t>
      </w:r>
    </w:p>
    <w:p>
      <w:pPr>
        <w:pStyle w:val="6"/>
        <w:numPr>
          <w:ilvl w:val="0"/>
          <w:numId w:val="3"/>
        </w:numPr>
        <w:ind w:firstLineChars="0"/>
        <w:rPr>
          <w:rFonts w:cs="Times New Roman"/>
          <w:szCs w:val="32"/>
          <w:shd w:val="pct10" w:color="auto" w:fill="FFFFFF"/>
        </w:rPr>
      </w:pPr>
      <w:r>
        <w:rPr>
          <w:rFonts w:hint="eastAsia" w:cs="Times New Roman"/>
          <w:szCs w:val="32"/>
          <w:shd w:val="pct10" w:color="auto" w:fill="FFFFFF"/>
        </w:rPr>
        <w:t>两个自然年度内未在平台开展基差交易业务；</w:t>
      </w:r>
    </w:p>
    <w:p>
      <w:pPr>
        <w:pStyle w:val="6"/>
        <w:numPr>
          <w:ilvl w:val="0"/>
          <w:numId w:val="3"/>
        </w:numPr>
        <w:ind w:left="0" w:firstLine="640"/>
        <w:rPr>
          <w:rFonts w:cs="Times New Roman"/>
          <w:szCs w:val="32"/>
          <w:shd w:val="pct10" w:color="auto" w:fill="FFFFFF"/>
        </w:rPr>
      </w:pPr>
      <w:r>
        <w:rPr>
          <w:rFonts w:hint="eastAsia" w:cs="Times New Roman"/>
          <w:szCs w:val="32"/>
          <w:shd w:val="pct10" w:color="auto" w:fill="FFFFFF"/>
        </w:rPr>
        <w:t>受到刑事处罚或者责令停产停业、吊销许可证或执照的行政处罚；</w:t>
      </w:r>
    </w:p>
    <w:p>
      <w:pPr>
        <w:pStyle w:val="6"/>
        <w:numPr>
          <w:ilvl w:val="0"/>
          <w:numId w:val="3"/>
        </w:numPr>
        <w:ind w:left="0" w:firstLine="640"/>
        <w:rPr>
          <w:rFonts w:cs="Times New Roman"/>
          <w:szCs w:val="32"/>
          <w:shd w:val="pct10" w:color="auto" w:fill="FFFFFF"/>
        </w:rPr>
      </w:pPr>
      <w:r>
        <w:rPr>
          <w:rFonts w:hint="eastAsia" w:cs="Times New Roman"/>
          <w:szCs w:val="32"/>
          <w:shd w:val="pct10" w:color="auto" w:fill="FFFFFF"/>
        </w:rPr>
        <w:t>依法被收购、兼并、撤销、解散或者宣告破产；</w:t>
      </w:r>
    </w:p>
    <w:p>
      <w:pPr>
        <w:pStyle w:val="6"/>
        <w:numPr>
          <w:ilvl w:val="0"/>
          <w:numId w:val="3"/>
        </w:numPr>
        <w:ind w:firstLineChars="0"/>
        <w:rPr>
          <w:rFonts w:cs="Times New Roman"/>
          <w:szCs w:val="32"/>
          <w:shd w:val="pct10" w:color="auto" w:fill="FFFFFF"/>
        </w:rPr>
      </w:pPr>
      <w:r>
        <w:rPr>
          <w:rFonts w:hint="eastAsia" w:cs="Times New Roman"/>
          <w:szCs w:val="32"/>
          <w:shd w:val="pct10" w:color="auto" w:fill="FFFFFF"/>
        </w:rPr>
        <w:t>向交易所提交虚假材料；</w:t>
      </w:r>
    </w:p>
    <w:p>
      <w:pPr>
        <w:pStyle w:val="6"/>
        <w:numPr>
          <w:ilvl w:val="0"/>
          <w:numId w:val="3"/>
        </w:numPr>
        <w:ind w:left="0" w:firstLine="640"/>
        <w:rPr>
          <w:rFonts w:cs="Times New Roman"/>
          <w:color w:val="000000"/>
          <w:szCs w:val="32"/>
          <w:shd w:val="pct10" w:color="auto" w:fill="FFFFFF"/>
        </w:rPr>
      </w:pPr>
      <w:r>
        <w:rPr>
          <w:rFonts w:hint="eastAsia" w:cs="Times New Roman"/>
          <w:szCs w:val="32"/>
          <w:shd w:val="pct10" w:color="auto" w:fill="FFFFFF"/>
        </w:rPr>
        <w:t>本办法规定、交易所认定或协议约定的其他情形。</w:t>
      </w: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第二十九条 </w:t>
      </w:r>
      <w:r>
        <w:rPr>
          <w:rFonts w:cs="Times New Roman"/>
          <w:color w:val="000000"/>
          <w:szCs w:val="32"/>
        </w:rPr>
        <w:t>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开展基差交易前，应在平台开立交易账户和清算账户</w:t>
      </w:r>
      <w:r>
        <w:rPr>
          <w:rFonts w:cs="Times New Roman"/>
          <w:dstrike/>
          <w:color w:val="000000"/>
          <w:szCs w:val="32"/>
        </w:rPr>
        <w:t>，</w:t>
      </w:r>
      <w:r>
        <w:rPr>
          <w:rFonts w:hint="eastAsia" w:cs="Times New Roman"/>
          <w:color w:val="000000"/>
          <w:szCs w:val="32"/>
          <w:shd w:val="pct10" w:color="auto" w:fill="FFFFFF"/>
        </w:rPr>
        <w:t>。</w:t>
      </w:r>
      <w:r>
        <w:rPr>
          <w:rFonts w:cs="Times New Roman"/>
          <w:dstrike/>
          <w:color w:val="000000"/>
          <w:szCs w:val="32"/>
        </w:rPr>
        <w:t>在</w:t>
      </w:r>
      <w:r>
        <w:rPr>
          <w:rFonts w:hint="eastAsia" w:cs="Times New Roman"/>
          <w:color w:val="000000"/>
          <w:szCs w:val="32"/>
          <w:shd w:val="pct10" w:color="auto" w:fill="FFFFFF"/>
        </w:rPr>
        <w:t>交易商之间的基差交易以及交易商与客户间的基差交易两项业务相互独立，交易参与者应根据其拟开展的业务类型分别申请。交易参与者应</w:t>
      </w:r>
      <w:r>
        <w:rPr>
          <w:rFonts w:cs="Times New Roman"/>
          <w:color w:val="000000"/>
          <w:szCs w:val="32"/>
        </w:rPr>
        <w:t>在</w:t>
      </w:r>
      <w:r>
        <w:rPr>
          <w:rFonts w:hint="eastAsia" w:cs="Times New Roman"/>
          <w:color w:val="000000"/>
          <w:szCs w:val="32"/>
        </w:rPr>
        <w:t>综合业务指定</w:t>
      </w:r>
      <w:r>
        <w:rPr>
          <w:rFonts w:cs="Times New Roman"/>
          <w:color w:val="000000"/>
          <w:szCs w:val="32"/>
        </w:rPr>
        <w:t>存管银行开立或指定资金账户</w:t>
      </w:r>
      <w:r>
        <w:rPr>
          <w:rFonts w:cs="Times New Roman"/>
          <w:dstrike/>
          <w:color w:val="000000"/>
          <w:szCs w:val="32"/>
        </w:rPr>
        <w:t>。</w:t>
      </w:r>
      <w:r>
        <w:rPr>
          <w:rFonts w:hint="eastAsia" w:cs="Times New Roman"/>
          <w:color w:val="000000"/>
          <w:szCs w:val="32"/>
          <w:shd w:val="pct10" w:color="auto" w:fill="FFFFFF"/>
        </w:rPr>
        <w:t>，</w:t>
      </w:r>
      <w:r>
        <w:rPr>
          <w:rFonts w:cs="Times New Roman"/>
          <w:color w:val="000000"/>
          <w:szCs w:val="32"/>
        </w:rPr>
        <w:t>开户后生成</w:t>
      </w:r>
      <w:r>
        <w:rPr>
          <w:rFonts w:hint="eastAsia" w:cs="Times New Roman"/>
          <w:color w:val="000000"/>
          <w:szCs w:val="32"/>
          <w:shd w:val="pct10" w:color="auto" w:fill="FFFFFF"/>
        </w:rPr>
        <w:t>相关基差业务类型的</w:t>
      </w:r>
      <w:r>
        <w:rPr>
          <w:rFonts w:cs="Times New Roman"/>
          <w:color w:val="000000"/>
          <w:szCs w:val="32"/>
        </w:rPr>
        <w:t>交易编码。交易账户及密码是平台识别交易商</w:t>
      </w:r>
      <w:r>
        <w:rPr>
          <w:rFonts w:hint="eastAsia" w:cs="Times New Roman"/>
          <w:color w:val="000000"/>
          <w:szCs w:val="32"/>
          <w:shd w:val="pct10" w:color="auto" w:fill="FFFFFF"/>
        </w:rPr>
        <w:t>或客户</w:t>
      </w:r>
      <w:r>
        <w:rPr>
          <w:rFonts w:cs="Times New Roman"/>
          <w:color w:val="000000"/>
          <w:szCs w:val="32"/>
        </w:rPr>
        <w:t>身份的依据。以交易账户登录信息、交易编码进行的操作、发出的指令即视为该交易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做出。</w:t>
      </w:r>
    </w:p>
    <w:p>
      <w:pPr>
        <w:ind w:firstLine="640"/>
        <w:rPr>
          <w:rFonts w:ascii="Times New Roman" w:hAnsi="Times New Roman" w:eastAsia="仿宋_GB2312" w:cs="Times New Roman"/>
          <w:color w:val="000000"/>
          <w:sz w:val="32"/>
          <w:szCs w:val="32"/>
          <w:shd w:val="pct10" w:color="auto" w:fill="FFFFFF"/>
        </w:rPr>
      </w:pPr>
      <w:r>
        <w:rPr>
          <w:rFonts w:hint="eastAsia" w:ascii="Times New Roman" w:hAnsi="Times New Roman" w:eastAsia="仿宋_GB2312" w:cs="Times New Roman"/>
          <w:color w:val="000000"/>
          <w:sz w:val="32"/>
          <w:szCs w:val="32"/>
          <w:shd w:val="pct10" w:color="auto" w:fill="FFFFFF"/>
        </w:rPr>
        <w:t>第三十条 除另有规定外，每个品种板块内的所有交易商之间均可开展基差交易。交易商与客户之间只有在建立认可关系之后才能成为交易对手。</w:t>
      </w: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第三十一条 </w:t>
      </w:r>
      <w:r>
        <w:rPr>
          <w:rFonts w:cs="Times New Roman"/>
          <w:color w:val="000000"/>
          <w:szCs w:val="32"/>
        </w:rPr>
        <w:t>……</w:t>
      </w:r>
    </w:p>
    <w:p>
      <w:pPr>
        <w:pStyle w:val="6"/>
        <w:tabs>
          <w:tab w:val="left" w:pos="1620"/>
          <w:tab w:val="left" w:pos="1800"/>
        </w:tabs>
        <w:ind w:firstLine="707" w:firstLineChars="221"/>
        <w:rPr>
          <w:rFonts w:cs="Times New Roman"/>
          <w:color w:val="000000"/>
          <w:szCs w:val="32"/>
        </w:rPr>
      </w:pPr>
      <w:r>
        <w:rPr>
          <w:rFonts w:cs="Times New Roman"/>
          <w:color w:val="000000"/>
          <w:szCs w:val="32"/>
        </w:rPr>
        <w:t>挂牌交易，是指交易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在平台上对合同进行公开报价，由其他</w:t>
      </w:r>
      <w:r>
        <w:rPr>
          <w:rFonts w:hint="eastAsia" w:cs="Times New Roman"/>
          <w:color w:val="000000"/>
          <w:szCs w:val="32"/>
          <w:shd w:val="pct10" w:color="auto" w:fill="FFFFFF"/>
        </w:rPr>
        <w:t>有权与其</w:t>
      </w:r>
      <w:r>
        <w:rPr>
          <w:rFonts w:cs="Times New Roman"/>
          <w:color w:val="000000"/>
          <w:szCs w:val="32"/>
        </w:rPr>
        <w:t>交易</w:t>
      </w:r>
      <w:r>
        <w:rPr>
          <w:rFonts w:cs="Times New Roman"/>
          <w:dstrike/>
          <w:color w:val="000000"/>
          <w:szCs w:val="32"/>
        </w:rPr>
        <w:t>商</w:t>
      </w:r>
      <w:r>
        <w:rPr>
          <w:rFonts w:hint="eastAsia" w:cs="Times New Roman"/>
          <w:color w:val="000000"/>
          <w:szCs w:val="32"/>
          <w:shd w:val="pct10" w:color="auto" w:fill="FFFFFF"/>
        </w:rPr>
        <w:t>的交易参与者</w:t>
      </w:r>
      <w:r>
        <w:rPr>
          <w:rFonts w:cs="Times New Roman"/>
          <w:color w:val="000000"/>
          <w:szCs w:val="32"/>
        </w:rPr>
        <w:t>响应达成的交易。</w:t>
      </w:r>
    </w:p>
    <w:p>
      <w:pPr>
        <w:pStyle w:val="6"/>
        <w:tabs>
          <w:tab w:val="left" w:pos="1620"/>
          <w:tab w:val="left" w:pos="1800"/>
        </w:tabs>
        <w:ind w:firstLine="707" w:firstLineChars="221"/>
        <w:rPr>
          <w:rFonts w:cs="Times New Roman"/>
          <w:color w:val="000000"/>
          <w:szCs w:val="32"/>
        </w:rPr>
      </w:pPr>
      <w:r>
        <w:rPr>
          <w:rFonts w:cs="Times New Roman"/>
          <w:color w:val="000000"/>
          <w:szCs w:val="32"/>
        </w:rPr>
        <w:t>协商交易，是指交易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在平台上对合同进行定向报价，由指定</w:t>
      </w:r>
      <w:r>
        <w:rPr>
          <w:rFonts w:hint="eastAsia" w:cs="Times New Roman"/>
          <w:color w:val="000000"/>
          <w:szCs w:val="32"/>
          <w:shd w:val="pct10" w:color="auto" w:fill="FFFFFF"/>
        </w:rPr>
        <w:t>的</w:t>
      </w:r>
      <w:r>
        <w:rPr>
          <w:rFonts w:cs="Times New Roman"/>
          <w:color w:val="000000"/>
          <w:szCs w:val="32"/>
        </w:rPr>
        <w:t>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响应达成的交易。</w:t>
      </w:r>
    </w:p>
    <w:p>
      <w:pPr>
        <w:pStyle w:val="6"/>
        <w:tabs>
          <w:tab w:val="left" w:pos="1620"/>
          <w:tab w:val="left" w:pos="1800"/>
        </w:tabs>
        <w:ind w:firstLine="640"/>
        <w:rPr>
          <w:rFonts w:cs="Times New Roman"/>
          <w:color w:val="000000"/>
          <w:szCs w:val="32"/>
          <w:shd w:val="pct10" w:color="auto" w:fill="FFFFFF"/>
        </w:rPr>
      </w:pPr>
      <w:r>
        <w:rPr>
          <w:rFonts w:hint="eastAsia" w:cs="Times New Roman"/>
          <w:color w:val="000000"/>
          <w:szCs w:val="32"/>
        </w:rPr>
        <w:t xml:space="preserve">第三十四条 </w:t>
      </w:r>
      <w:r>
        <w:rPr>
          <w:rFonts w:cs="Times New Roman"/>
          <w:color w:val="000000"/>
          <w:szCs w:val="32"/>
        </w:rPr>
        <w:t>交易商</w:t>
      </w:r>
      <w:r>
        <w:rPr>
          <w:rFonts w:cs="Times New Roman"/>
          <w:dstrike/>
          <w:color w:val="000000"/>
          <w:szCs w:val="32"/>
        </w:rPr>
        <w:t>应当</w:t>
      </w:r>
      <w:r>
        <w:rPr>
          <w:rFonts w:hint="eastAsia" w:cs="Times New Roman"/>
          <w:color w:val="000000"/>
          <w:szCs w:val="32"/>
          <w:shd w:val="pct10" w:color="auto" w:fill="FFFFFF"/>
        </w:rPr>
        <w:t>之间达成交易后生成的合同，由交易双方</w:t>
      </w:r>
      <w:r>
        <w:rPr>
          <w:rFonts w:cs="Times New Roman"/>
          <w:color w:val="000000"/>
          <w:szCs w:val="32"/>
        </w:rPr>
        <w:t>自行约定合同是否可转让</w:t>
      </w:r>
      <w:r>
        <w:rPr>
          <w:rFonts w:cs="Times New Roman"/>
          <w:dstrike/>
          <w:color w:val="000000"/>
          <w:szCs w:val="32"/>
        </w:rPr>
        <w:t>。</w:t>
      </w:r>
      <w:r>
        <w:rPr>
          <w:rFonts w:hint="eastAsia" w:cs="Times New Roman"/>
          <w:color w:val="000000"/>
          <w:szCs w:val="32"/>
          <w:shd w:val="pct10" w:color="auto" w:fill="FFFFFF"/>
        </w:rPr>
        <w:t>，</w:t>
      </w:r>
      <w:r>
        <w:rPr>
          <w:rFonts w:cs="Times New Roman"/>
          <w:color w:val="000000"/>
          <w:szCs w:val="32"/>
        </w:rPr>
        <w:t>合同转让期为合同首次成交时起至最后交收日闭市前。</w:t>
      </w:r>
      <w:r>
        <w:rPr>
          <w:rFonts w:hint="eastAsia" w:cs="Times New Roman"/>
          <w:color w:val="000000"/>
          <w:szCs w:val="32"/>
          <w:shd w:val="pct10" w:color="auto" w:fill="FFFFFF"/>
        </w:rPr>
        <w:t>交易商与客户达成交易后生成的合同，不可转让。</w:t>
      </w: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第三十六条 </w:t>
      </w:r>
      <w:r>
        <w:rPr>
          <w:rFonts w:hint="eastAsia" w:cs="Times New Roman"/>
          <w:color w:val="000000"/>
          <w:szCs w:val="32"/>
          <w:shd w:val="pct10" w:color="auto" w:fill="FFFFFF"/>
        </w:rPr>
        <w:t>交易商之间达成交易生成的合同</w:t>
      </w:r>
      <w:r>
        <w:rPr>
          <w:rFonts w:hint="eastAsia" w:cs="Times New Roman"/>
          <w:color w:val="000000"/>
          <w:szCs w:val="32"/>
        </w:rPr>
        <w:t>，</w:t>
      </w:r>
      <w:r>
        <w:rPr>
          <w:rFonts w:cs="Times New Roman"/>
          <w:color w:val="000000"/>
          <w:szCs w:val="32"/>
        </w:rPr>
        <w:t>经双方协商一致，合同签发人可以对已签发的</w:t>
      </w:r>
      <w:r>
        <w:rPr>
          <w:rFonts w:cs="Times New Roman"/>
          <w:dstrike/>
          <w:color w:val="000000"/>
          <w:szCs w:val="32"/>
        </w:rPr>
        <w:t>可转让</w:t>
      </w:r>
      <w:r>
        <w:rPr>
          <w:rFonts w:cs="Times New Roman"/>
          <w:color w:val="000000"/>
          <w:szCs w:val="32"/>
        </w:rPr>
        <w:t>合同进行回购</w:t>
      </w:r>
      <w:r>
        <w:rPr>
          <w:rFonts w:hint="eastAsia" w:cs="Times New Roman"/>
          <w:color w:val="000000"/>
          <w:szCs w:val="32"/>
        </w:rPr>
        <w:t>。</w:t>
      </w:r>
      <w:r>
        <w:rPr>
          <w:rFonts w:hint="eastAsia" w:cs="Times New Roman"/>
          <w:color w:val="000000"/>
          <w:szCs w:val="32"/>
          <w:shd w:val="pct10" w:color="auto" w:fill="FFFFFF"/>
        </w:rPr>
        <w:t>交易商与客户达成交易后生成的合同，不可回购</w:t>
      </w:r>
      <w:r>
        <w:rPr>
          <w:rFonts w:cs="Times New Roman"/>
          <w:color w:val="000000"/>
          <w:szCs w:val="32"/>
          <w:shd w:val="pct10" w:color="auto" w:fill="FFFFFF"/>
        </w:rPr>
        <w:t>。</w:t>
      </w: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第三十七条 </w:t>
      </w:r>
      <w:r>
        <w:rPr>
          <w:rFonts w:cs="Times New Roman"/>
          <w:color w:val="000000"/>
          <w:szCs w:val="32"/>
        </w:rPr>
        <w:t>交易</w:t>
      </w:r>
      <w:r>
        <w:rPr>
          <w:rFonts w:cs="Times New Roman"/>
          <w:dstrike/>
          <w:color w:val="000000"/>
          <w:szCs w:val="32"/>
        </w:rPr>
        <w:t>商</w:t>
      </w:r>
      <w:r>
        <w:rPr>
          <w:rFonts w:hint="eastAsia" w:cs="Times New Roman"/>
          <w:color w:val="000000"/>
          <w:szCs w:val="32"/>
          <w:shd w:val="pct10" w:color="auto" w:fill="FFFFFF"/>
        </w:rPr>
        <w:t>双方</w:t>
      </w:r>
      <w:r>
        <w:rPr>
          <w:rFonts w:cs="Times New Roman"/>
          <w:color w:val="000000"/>
          <w:szCs w:val="32"/>
        </w:rPr>
        <w:t>应当选择自行结算或委托平台结算。</w:t>
      </w:r>
    </w:p>
    <w:p>
      <w:pPr>
        <w:pStyle w:val="6"/>
        <w:tabs>
          <w:tab w:val="left" w:pos="1620"/>
          <w:tab w:val="left" w:pos="1800"/>
        </w:tabs>
        <w:ind w:firstLine="640"/>
        <w:rPr>
          <w:rFonts w:cs="Times New Roman"/>
          <w:color w:val="000000"/>
          <w:szCs w:val="32"/>
        </w:rPr>
      </w:pPr>
      <w:r>
        <w:rPr>
          <w:rFonts w:cs="Times New Roman"/>
          <w:color w:val="000000"/>
          <w:szCs w:val="32"/>
        </w:rPr>
        <w:t>自行结算的，合同不能在平台进行转让、回购，交易</w:t>
      </w:r>
      <w:r>
        <w:rPr>
          <w:rFonts w:cs="Times New Roman"/>
          <w:dstrike/>
          <w:color w:val="000000"/>
          <w:szCs w:val="32"/>
        </w:rPr>
        <w:t>商之间</w:t>
      </w:r>
      <w:r>
        <w:rPr>
          <w:rFonts w:hint="eastAsia" w:cs="Times New Roman"/>
          <w:color w:val="000000"/>
          <w:szCs w:val="32"/>
          <w:shd w:val="pct10" w:color="auto" w:fill="FFFFFF"/>
        </w:rPr>
        <w:t>双方</w:t>
      </w:r>
      <w:r>
        <w:rPr>
          <w:rFonts w:cs="Times New Roman"/>
          <w:color w:val="000000"/>
          <w:szCs w:val="32"/>
        </w:rPr>
        <w:t>自行约定结算方式等合同条款。</w:t>
      </w:r>
    </w:p>
    <w:p>
      <w:pPr>
        <w:pStyle w:val="6"/>
        <w:tabs>
          <w:tab w:val="left" w:pos="1620"/>
          <w:tab w:val="left" w:pos="1800"/>
        </w:tabs>
        <w:ind w:firstLine="640"/>
        <w:rPr>
          <w:rFonts w:cs="Times New Roman"/>
          <w:color w:val="000000"/>
          <w:szCs w:val="32"/>
        </w:rPr>
      </w:pPr>
      <w:r>
        <w:rPr>
          <w:rFonts w:cs="Times New Roman"/>
          <w:color w:val="000000"/>
          <w:szCs w:val="32"/>
        </w:rPr>
        <w:t>……</w:t>
      </w: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第三十九条 </w:t>
      </w:r>
      <w:r>
        <w:rPr>
          <w:rFonts w:cs="Times New Roman"/>
          <w:color w:val="000000"/>
          <w:szCs w:val="32"/>
        </w:rPr>
        <w:t>……</w:t>
      </w:r>
    </w:p>
    <w:p>
      <w:pPr>
        <w:pStyle w:val="6"/>
        <w:tabs>
          <w:tab w:val="left" w:pos="1620"/>
          <w:tab w:val="left" w:pos="1800"/>
        </w:tabs>
        <w:ind w:firstLine="640"/>
        <w:rPr>
          <w:rFonts w:cs="Times New Roman"/>
          <w:color w:val="000000"/>
          <w:szCs w:val="32"/>
        </w:rPr>
      </w:pPr>
      <w:r>
        <w:rPr>
          <w:rFonts w:cs="Times New Roman"/>
          <w:color w:val="000000"/>
          <w:szCs w:val="32"/>
        </w:rPr>
        <w:t>交易保证金由平台按照</w:t>
      </w:r>
      <w:r>
        <w:rPr>
          <w:rFonts w:cs="Times New Roman"/>
          <w:dstrike/>
          <w:color w:val="000000"/>
          <w:szCs w:val="32"/>
        </w:rPr>
        <w:t>交易商</w:t>
      </w:r>
      <w:r>
        <w:rPr>
          <w:rFonts w:hint="eastAsia" w:cs="Times New Roman"/>
          <w:color w:val="000000"/>
          <w:szCs w:val="32"/>
          <w:shd w:val="pct10" w:color="auto" w:fill="FFFFFF"/>
        </w:rPr>
        <w:t>合同</w:t>
      </w:r>
      <w:r>
        <w:rPr>
          <w:rFonts w:cs="Times New Roman"/>
          <w:color w:val="000000"/>
          <w:szCs w:val="32"/>
        </w:rPr>
        <w:t>设定的交易保证金率计算收取，交易保证金首先以交易</w:t>
      </w:r>
      <w:r>
        <w:rPr>
          <w:rFonts w:cs="Times New Roman"/>
          <w:dstrike/>
          <w:color w:val="000000"/>
          <w:szCs w:val="32"/>
        </w:rPr>
        <w:t>商</w:t>
      </w:r>
      <w:r>
        <w:rPr>
          <w:rFonts w:hint="eastAsia" w:cs="Times New Roman"/>
          <w:color w:val="000000"/>
          <w:szCs w:val="32"/>
          <w:shd w:val="pct10" w:color="auto" w:fill="FFFFFF"/>
        </w:rPr>
        <w:t>双方</w:t>
      </w:r>
      <w:r>
        <w:rPr>
          <w:rFonts w:cs="Times New Roman"/>
          <w:color w:val="000000"/>
          <w:szCs w:val="32"/>
        </w:rPr>
        <w:t>之间互认的信用额度充抵，信用额度不足的部分，以货币资金支付。</w:t>
      </w:r>
    </w:p>
    <w:p>
      <w:pPr>
        <w:pStyle w:val="6"/>
        <w:tabs>
          <w:tab w:val="left" w:pos="1620"/>
          <w:tab w:val="left" w:pos="1800"/>
        </w:tabs>
        <w:ind w:firstLine="640"/>
        <w:rPr>
          <w:rFonts w:cs="Times New Roman"/>
          <w:color w:val="000000"/>
          <w:szCs w:val="32"/>
        </w:rPr>
      </w:pPr>
      <w:r>
        <w:rPr>
          <w:rFonts w:cs="Times New Roman"/>
          <w:color w:val="000000"/>
          <w:szCs w:val="32"/>
        </w:rPr>
        <w:t>追加保证金由交易</w:t>
      </w:r>
      <w:r>
        <w:rPr>
          <w:rFonts w:cs="Times New Roman"/>
          <w:dstrike/>
          <w:color w:val="000000"/>
          <w:szCs w:val="32"/>
        </w:rPr>
        <w:t>商</w:t>
      </w:r>
      <w:r>
        <w:rPr>
          <w:rFonts w:hint="eastAsia" w:cs="Times New Roman"/>
          <w:color w:val="000000"/>
          <w:szCs w:val="32"/>
          <w:shd w:val="pct10" w:color="auto" w:fill="FFFFFF"/>
        </w:rPr>
        <w:t>双方</w:t>
      </w:r>
      <w:r>
        <w:rPr>
          <w:rFonts w:cs="Times New Roman"/>
          <w:color w:val="000000"/>
          <w:szCs w:val="32"/>
        </w:rPr>
        <w:t>在合同中约定，平台按照追保方发出的追加保证金指令收取，追加保证金仅以货币资金支付。</w:t>
      </w: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第四十条 </w:t>
      </w:r>
      <w:r>
        <w:rPr>
          <w:rFonts w:cs="Times New Roman"/>
          <w:color w:val="000000"/>
          <w:szCs w:val="32"/>
        </w:rPr>
        <w:t>信用额度由交易</w:t>
      </w:r>
      <w:r>
        <w:rPr>
          <w:rFonts w:cs="Times New Roman"/>
          <w:dstrike/>
          <w:color w:val="000000"/>
          <w:szCs w:val="32"/>
        </w:rPr>
        <w:t>商之间</w:t>
      </w:r>
      <w:r>
        <w:rPr>
          <w:rFonts w:hint="eastAsia" w:cs="Times New Roman"/>
          <w:color w:val="000000"/>
          <w:szCs w:val="32"/>
          <w:shd w:val="pct10" w:color="auto" w:fill="FFFFFF"/>
        </w:rPr>
        <w:t>双方</w:t>
      </w:r>
      <w:r>
        <w:rPr>
          <w:rFonts w:cs="Times New Roman"/>
          <w:color w:val="000000"/>
          <w:szCs w:val="32"/>
        </w:rPr>
        <w:t>协商确定并自行承担风险，平台根据信用额度授予方的通知登记信用额度。</w:t>
      </w: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第四十二条 </w:t>
      </w:r>
      <w:r>
        <w:rPr>
          <w:rFonts w:cs="Times New Roman"/>
          <w:color w:val="000000"/>
          <w:szCs w:val="32"/>
        </w:rPr>
        <w:t>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响应转让或回购交易的报价指令时，平台以首次基差成交价与转让或回购成交价之差计算、划转</w:t>
      </w:r>
      <w:r>
        <w:rPr>
          <w:rFonts w:hint="eastAsia" w:cs="Times New Roman"/>
          <w:color w:val="000000"/>
          <w:szCs w:val="32"/>
        </w:rPr>
        <w:t>资金</w:t>
      </w:r>
      <w:r>
        <w:rPr>
          <w:rFonts w:cs="Times New Roman"/>
          <w:color w:val="000000"/>
          <w:szCs w:val="32"/>
        </w:rPr>
        <w:t>，公式为：</w:t>
      </w:r>
    </w:p>
    <w:p>
      <w:pPr>
        <w:pStyle w:val="6"/>
        <w:tabs>
          <w:tab w:val="left" w:pos="1620"/>
          <w:tab w:val="left" w:pos="1800"/>
        </w:tabs>
        <w:ind w:firstLine="566" w:firstLineChars="177"/>
        <w:rPr>
          <w:rFonts w:cs="Times New Roman"/>
          <w:color w:val="000000"/>
          <w:szCs w:val="32"/>
        </w:rPr>
      </w:pPr>
      <w:r>
        <w:rPr>
          <w:rFonts w:cs="Times New Roman"/>
          <w:color w:val="000000"/>
          <w:szCs w:val="32"/>
        </w:rPr>
        <w:t>转让方</w:t>
      </w:r>
      <w:r>
        <w:rPr>
          <w:rFonts w:hint="eastAsia" w:cs="Times New Roman"/>
          <w:color w:val="000000"/>
          <w:szCs w:val="32"/>
          <w:shd w:val="pct10" w:color="auto" w:fill="FFFFFF"/>
        </w:rPr>
        <w:t>或被回购方</w:t>
      </w:r>
      <w:r>
        <w:rPr>
          <w:rFonts w:hint="eastAsia" w:cs="Times New Roman"/>
          <w:color w:val="000000"/>
          <w:szCs w:val="32"/>
        </w:rPr>
        <w:t>价差</w:t>
      </w:r>
      <w:r>
        <w:rPr>
          <w:rFonts w:cs="Times New Roman"/>
          <w:color w:val="000000"/>
          <w:szCs w:val="32"/>
        </w:rPr>
        <w:t>=（转让</w:t>
      </w:r>
      <w:r>
        <w:rPr>
          <w:rFonts w:hint="eastAsia" w:cs="Times New Roman"/>
          <w:color w:val="000000"/>
          <w:szCs w:val="32"/>
          <w:shd w:val="pct10" w:color="auto" w:fill="FFFFFF"/>
        </w:rPr>
        <w:t>或回购</w:t>
      </w:r>
      <w:r>
        <w:rPr>
          <w:rFonts w:cs="Times New Roman"/>
          <w:color w:val="000000"/>
          <w:szCs w:val="32"/>
        </w:rPr>
        <w:t>成交价-首次基差成交价）×交易数量</w:t>
      </w:r>
    </w:p>
    <w:p>
      <w:pPr>
        <w:pStyle w:val="6"/>
        <w:tabs>
          <w:tab w:val="left" w:pos="1620"/>
          <w:tab w:val="left" w:pos="1800"/>
        </w:tabs>
        <w:ind w:firstLine="566" w:firstLineChars="177"/>
        <w:rPr>
          <w:rFonts w:cs="Times New Roman"/>
          <w:color w:val="000000"/>
          <w:szCs w:val="32"/>
        </w:rPr>
      </w:pPr>
      <w:r>
        <w:rPr>
          <w:rFonts w:cs="Times New Roman"/>
          <w:color w:val="000000"/>
          <w:szCs w:val="32"/>
        </w:rPr>
        <w:t>受让方或回购方</w:t>
      </w:r>
      <w:r>
        <w:rPr>
          <w:rFonts w:hint="eastAsia" w:cs="Times New Roman"/>
          <w:color w:val="000000"/>
          <w:szCs w:val="32"/>
        </w:rPr>
        <w:t>价差</w:t>
      </w:r>
      <w:r>
        <w:rPr>
          <w:rFonts w:cs="Times New Roman"/>
          <w:color w:val="000000"/>
          <w:szCs w:val="32"/>
        </w:rPr>
        <w:t>=（首次基差成交价-转让或回购成交价）×交易数量</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 xml:space="preserve">第四十七条 </w:t>
      </w:r>
      <w:r>
        <w:rPr>
          <w:rFonts w:cs="Times New Roman"/>
          <w:color w:val="000000"/>
          <w:szCs w:val="32"/>
        </w:rPr>
        <w:t>……清算账户货币资金不足的，平台在结算后发出追保通知，交易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应当在下一交易日开市前补足。</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 xml:space="preserve">第四十八条 </w:t>
      </w:r>
      <w:r>
        <w:rPr>
          <w:rFonts w:cs="Times New Roman"/>
          <w:color w:val="000000"/>
          <w:szCs w:val="32"/>
        </w:rPr>
        <w:t>……清算账户货币资金不足的，平台在结算后发出追保通知，交易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应当在下一交易日开市前补足。……</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 xml:space="preserve">第五十条 </w:t>
      </w:r>
      <w:r>
        <w:rPr>
          <w:rFonts w:cs="Times New Roman"/>
          <w:color w:val="000000"/>
          <w:szCs w:val="32"/>
        </w:rPr>
        <w:t>最后点价日闭市前，交易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未进行首次点价确认的，平台不接受其追加保证金指令及交收申请。……清算账户货币资金不足的，平台在结算后发出追保通知，交易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应当在下一交易日开市前补足。</w:t>
      </w: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第五十一条 </w:t>
      </w:r>
      <w:r>
        <w:rPr>
          <w:rFonts w:cs="Times New Roman"/>
          <w:color w:val="000000"/>
          <w:szCs w:val="32"/>
        </w:rPr>
        <w:t>……</w:t>
      </w:r>
    </w:p>
    <w:p>
      <w:pPr>
        <w:pStyle w:val="6"/>
        <w:tabs>
          <w:tab w:val="left" w:pos="1620"/>
          <w:tab w:val="left" w:pos="1800"/>
        </w:tabs>
        <w:ind w:firstLine="640"/>
        <w:rPr>
          <w:rFonts w:cs="Times New Roman"/>
          <w:color w:val="000000"/>
          <w:szCs w:val="32"/>
        </w:rPr>
      </w:pPr>
      <w:r>
        <w:rPr>
          <w:rFonts w:cs="Times New Roman"/>
          <w:color w:val="000000"/>
          <w:szCs w:val="32"/>
        </w:rPr>
        <w:t>清算账户货币资金不足的，平台在最后交收日结算后发出追加货款通知，交易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应当在下一交易日开市前补足。</w:t>
      </w: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第五十四条 </w:t>
      </w:r>
      <w:r>
        <w:rPr>
          <w:rFonts w:cs="Times New Roman"/>
          <w:color w:val="000000"/>
          <w:szCs w:val="32"/>
        </w:rPr>
        <w:t>平台在每日闭市</w:t>
      </w:r>
      <w:r>
        <w:rPr>
          <w:rFonts w:hint="eastAsia" w:cs="Times New Roman"/>
          <w:dstrike/>
          <w:color w:val="000000"/>
          <w:szCs w:val="32"/>
        </w:rPr>
        <w:t>清算完成</w:t>
      </w:r>
      <w:r>
        <w:rPr>
          <w:rFonts w:hint="eastAsia" w:cs="Times New Roman"/>
          <w:color w:val="000000"/>
          <w:szCs w:val="32"/>
        </w:rPr>
        <w:t>后</w:t>
      </w:r>
      <w:r>
        <w:rPr>
          <w:rFonts w:cs="Times New Roman"/>
          <w:color w:val="000000"/>
          <w:szCs w:val="32"/>
        </w:rPr>
        <w:t>办理出金业务。可出资金即清算账户货币资金中未被交易保证金占用的部分，当交易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发生纠纷或涉嫌违规时，平台有权</w:t>
      </w:r>
      <w:r>
        <w:rPr>
          <w:rFonts w:hint="eastAsia" w:cs="Times New Roman"/>
          <w:color w:val="000000"/>
          <w:szCs w:val="32"/>
        </w:rPr>
        <w:t>采取</w:t>
      </w:r>
      <w:r>
        <w:rPr>
          <w:rFonts w:cs="Times New Roman"/>
          <w:color w:val="000000"/>
          <w:szCs w:val="32"/>
        </w:rPr>
        <w:t>限制出金</w:t>
      </w:r>
      <w:r>
        <w:rPr>
          <w:rFonts w:hint="eastAsia" w:cs="Times New Roman"/>
          <w:color w:val="000000"/>
          <w:szCs w:val="32"/>
        </w:rPr>
        <w:t>等处置措施</w:t>
      </w:r>
      <w:r>
        <w:rPr>
          <w:rFonts w:cs="Times New Roman"/>
          <w:color w:val="000000"/>
          <w:szCs w:val="32"/>
        </w:rPr>
        <w:t>。</w:t>
      </w:r>
    </w:p>
    <w:p>
      <w:pPr>
        <w:pStyle w:val="6"/>
        <w:tabs>
          <w:tab w:val="left" w:pos="1620"/>
          <w:tab w:val="left" w:pos="1800"/>
        </w:tabs>
        <w:ind w:firstLine="640"/>
        <w:rPr>
          <w:rFonts w:cs="Times New Roman"/>
          <w:color w:val="000000"/>
          <w:szCs w:val="32"/>
        </w:rPr>
      </w:pPr>
      <w:r>
        <w:rPr>
          <w:rFonts w:hint="eastAsia" w:cs="Times New Roman"/>
          <w:color w:val="000000"/>
          <w:szCs w:val="32"/>
        </w:rPr>
        <w:t xml:space="preserve">第五十五条 </w:t>
      </w:r>
      <w:r>
        <w:rPr>
          <w:rFonts w:cs="Times New Roman"/>
          <w:color w:val="000000"/>
          <w:szCs w:val="32"/>
        </w:rPr>
        <w:t>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清算账户中未被占用的货币资金利息按不低于中国人民银行公布的同期银行活期存款利率计算，平台在每年的3月、6月、9月和12月下旬将利息支付给交易</w:t>
      </w:r>
      <w:r>
        <w:rPr>
          <w:rFonts w:cs="Times New Roman"/>
          <w:dstrike/>
          <w:color w:val="000000"/>
          <w:szCs w:val="32"/>
        </w:rPr>
        <w:t>商</w:t>
      </w:r>
      <w:r>
        <w:rPr>
          <w:rFonts w:hint="eastAsia" w:cs="Times New Roman"/>
          <w:color w:val="000000"/>
          <w:szCs w:val="32"/>
          <w:shd w:val="pct10" w:color="auto" w:fill="FFFFFF"/>
        </w:rPr>
        <w:t>参与者</w:t>
      </w:r>
      <w:r>
        <w:rPr>
          <w:rFonts w:hint="eastAsia" w:cs="Times New Roman"/>
          <w:color w:val="000000"/>
          <w:szCs w:val="32"/>
        </w:rPr>
        <w:t>。</w:t>
      </w:r>
      <w:r>
        <w:rPr>
          <w:rFonts w:cs="Times New Roman"/>
          <w:color w:val="000000"/>
          <w:szCs w:val="32"/>
        </w:rPr>
        <w:t>具体执行利率由平台确定、调整并通知。</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 xml:space="preserve">第六十二条 </w:t>
      </w:r>
      <w:r>
        <w:rPr>
          <w:rFonts w:cs="Times New Roman"/>
          <w:color w:val="000000"/>
          <w:szCs w:val="32"/>
        </w:rPr>
        <w:t>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应当履行基差交易业务相关的各项义务，并承担相关风险及责任。</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 xml:space="preserve">第六十三条 </w:t>
      </w:r>
      <w:r>
        <w:rPr>
          <w:rFonts w:cs="Times New Roman"/>
          <w:color w:val="000000"/>
          <w:szCs w:val="32"/>
        </w:rPr>
        <w:t>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应当遵循国家法律法规和金融管理的相关规定，不得虚构交易，从事洗钱、避税等违法违规活动。</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 xml:space="preserve">第六十四条 </w:t>
      </w:r>
      <w:r>
        <w:rPr>
          <w:rFonts w:cs="Times New Roman"/>
          <w:color w:val="000000"/>
          <w:szCs w:val="32"/>
        </w:rPr>
        <w:t>交易所有权对交易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在平台上发生的所有交易行为进行监督管理。</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 xml:space="preserve">第六十五条 </w:t>
      </w:r>
      <w:r>
        <w:rPr>
          <w:rFonts w:cs="Times New Roman"/>
          <w:color w:val="000000"/>
          <w:szCs w:val="32"/>
        </w:rPr>
        <w:t>交易所有权根据交易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的授权及有权机关的法律文书等书面文件，对资金进行划转。</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 xml:space="preserve">第六十六条 </w:t>
      </w:r>
      <w:r>
        <w:rPr>
          <w:rFonts w:cs="Times New Roman"/>
          <w:color w:val="000000"/>
          <w:szCs w:val="32"/>
        </w:rPr>
        <w:t>交易所仅以收取的资金为限按照基差交易业务相关规则对资金进行划转，不对各参与主体的信用风险承担任何责任，不承担与货物质量、数量等有关的任何责任。</w:t>
      </w:r>
      <w:r>
        <w:rPr>
          <w:rFonts w:cs="Times New Roman"/>
          <w:dstrike/>
          <w:color w:val="000000"/>
          <w:szCs w:val="32"/>
        </w:rPr>
        <w:t>交易商之间基差交易业务以外的纠纷与平台及交易所无关。</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第六十八条 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涉嫌违规的，由交易所进行调查，</w:t>
      </w:r>
      <w:r>
        <w:rPr>
          <w:rFonts w:hint="eastAsia" w:cs="Times New Roman"/>
          <w:color w:val="000000"/>
          <w:szCs w:val="32"/>
        </w:rPr>
        <w:t>交易</w:t>
      </w:r>
      <w:r>
        <w:rPr>
          <w:rFonts w:cs="Times New Roman"/>
          <w:dstrike/>
          <w:color w:val="000000"/>
          <w:szCs w:val="32"/>
        </w:rPr>
        <w:t>商</w:t>
      </w:r>
      <w:r>
        <w:rPr>
          <w:rFonts w:hint="eastAsia" w:cs="Times New Roman"/>
          <w:color w:val="000000"/>
          <w:szCs w:val="32"/>
          <w:shd w:val="pct10" w:color="auto" w:fill="FFFFFF"/>
        </w:rPr>
        <w:t>参与者</w:t>
      </w:r>
      <w:r>
        <w:rPr>
          <w:rFonts w:cs="Times New Roman"/>
          <w:color w:val="000000"/>
          <w:szCs w:val="32"/>
        </w:rPr>
        <w:t>有义务予以配合。</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第六十九条</w:t>
      </w:r>
      <w:r>
        <w:rPr>
          <w:rFonts w:cs="Times New Roman"/>
          <w:color w:val="000000"/>
          <w:szCs w:val="32"/>
        </w:rPr>
        <w:t xml:space="preserve"> </w:t>
      </w:r>
      <w:r>
        <w:rPr>
          <w:rFonts w:hint="eastAsia" w:cs="Times New Roman"/>
          <w:color w:val="000000"/>
          <w:szCs w:val="32"/>
        </w:rPr>
        <w:t>交易</w:t>
      </w:r>
      <w:r>
        <w:rPr>
          <w:rFonts w:cs="Times New Roman"/>
          <w:dstrike/>
          <w:color w:val="000000"/>
          <w:szCs w:val="32"/>
        </w:rPr>
        <w:t>商</w:t>
      </w:r>
      <w:r>
        <w:rPr>
          <w:rFonts w:hint="eastAsia" w:cs="Times New Roman"/>
          <w:color w:val="000000"/>
          <w:szCs w:val="32"/>
          <w:shd w:val="pct10" w:color="auto" w:fill="FFFFFF"/>
        </w:rPr>
        <w:t>参与者</w:t>
      </w:r>
      <w:r>
        <w:rPr>
          <w:rFonts w:hint="eastAsia" w:cs="Times New Roman"/>
          <w:color w:val="000000"/>
          <w:szCs w:val="32"/>
        </w:rPr>
        <w:t xml:space="preserve">有以下行为之一的，交易所有权认定其违规： </w:t>
      </w:r>
    </w:p>
    <w:p>
      <w:pPr>
        <w:pStyle w:val="6"/>
        <w:tabs>
          <w:tab w:val="left" w:pos="1620"/>
          <w:tab w:val="left" w:pos="1800"/>
        </w:tabs>
        <w:ind w:firstLine="566" w:firstLineChars="177"/>
        <w:rPr>
          <w:rFonts w:cs="Times New Roman"/>
          <w:color w:val="000000"/>
          <w:szCs w:val="32"/>
        </w:rPr>
      </w:pPr>
      <w:r>
        <w:rPr>
          <w:rFonts w:cs="Times New Roman"/>
          <w:color w:val="000000"/>
          <w:szCs w:val="32"/>
        </w:rPr>
        <w:t>……</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shd w:val="pct10" w:color="auto" w:fill="FFFFFF"/>
        </w:rPr>
        <w:t>第七十条</w:t>
      </w:r>
      <w:r>
        <w:rPr>
          <w:rFonts w:cs="Times New Roman"/>
          <w:color w:val="000000"/>
          <w:szCs w:val="32"/>
        </w:rPr>
        <w:t xml:space="preserve"> </w:t>
      </w:r>
      <w:r>
        <w:rPr>
          <w:rFonts w:hint="eastAsia" w:cs="Times New Roman"/>
          <w:color w:val="000000"/>
          <w:szCs w:val="32"/>
        </w:rPr>
        <w:t>交易</w:t>
      </w:r>
      <w:r>
        <w:rPr>
          <w:rFonts w:cs="Times New Roman"/>
          <w:dstrike/>
          <w:color w:val="000000"/>
          <w:szCs w:val="32"/>
        </w:rPr>
        <w:t>商</w:t>
      </w:r>
      <w:r>
        <w:rPr>
          <w:rFonts w:hint="eastAsia" w:cs="Times New Roman"/>
          <w:color w:val="000000"/>
          <w:szCs w:val="32"/>
          <w:shd w:val="pct10" w:color="auto" w:fill="FFFFFF"/>
        </w:rPr>
        <w:t>参与者</w:t>
      </w:r>
      <w:r>
        <w:rPr>
          <w:rFonts w:hint="eastAsia" w:cs="Times New Roman"/>
          <w:color w:val="000000"/>
          <w:szCs w:val="32"/>
        </w:rPr>
        <w:t>被认定违规的，应当及时改正或补救。交易所可视情节轻重，采取以下一项或多项措施：</w:t>
      </w:r>
    </w:p>
    <w:p>
      <w:pPr>
        <w:ind w:left="56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p>
    <w:p>
      <w:pPr>
        <w:ind w:left="566"/>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（三） </w:t>
      </w:r>
      <w:r>
        <w:rPr>
          <w:rFonts w:ascii="Times New Roman" w:hAnsi="Times New Roman" w:eastAsia="仿宋_GB2312" w:cs="Times New Roman"/>
          <w:color w:val="000000"/>
          <w:sz w:val="32"/>
          <w:szCs w:val="32"/>
        </w:rPr>
        <w:t>限制</w:t>
      </w:r>
      <w:r>
        <w:rPr>
          <w:rFonts w:hint="eastAsia" w:ascii="Times New Roman" w:hAnsi="Times New Roman" w:eastAsia="仿宋_GB2312" w:cs="Times New Roman"/>
          <w:color w:val="000000"/>
          <w:sz w:val="32"/>
          <w:szCs w:val="32"/>
        </w:rPr>
        <w:t>交易</w:t>
      </w:r>
      <w:r>
        <w:rPr>
          <w:rFonts w:ascii="Times New Roman" w:hAnsi="Times New Roman" w:eastAsia="仿宋_GB2312" w:cs="Times New Roman"/>
          <w:dstrike/>
          <w:color w:val="000000"/>
          <w:sz w:val="32"/>
          <w:szCs w:val="32"/>
        </w:rPr>
        <w:t>商</w:t>
      </w:r>
      <w:r>
        <w:rPr>
          <w:rFonts w:hint="eastAsia" w:ascii="Times New Roman" w:hAnsi="Times New Roman" w:eastAsia="仿宋_GB2312" w:cs="Times New Roman"/>
          <w:color w:val="000000"/>
          <w:sz w:val="32"/>
          <w:szCs w:val="32"/>
          <w:shd w:val="pct10" w:color="auto" w:fill="FFFFFF"/>
        </w:rPr>
        <w:t>参与者</w:t>
      </w:r>
      <w:r>
        <w:rPr>
          <w:rFonts w:hint="eastAsia" w:ascii="Times New Roman" w:hAnsi="Times New Roman" w:eastAsia="仿宋_GB2312" w:cs="Times New Roman"/>
          <w:color w:val="000000"/>
          <w:sz w:val="32"/>
          <w:szCs w:val="32"/>
        </w:rPr>
        <w:t>业务范围</w:t>
      </w:r>
      <w:r>
        <w:rPr>
          <w:rFonts w:ascii="Times New Roman" w:hAnsi="Times New Roman" w:eastAsia="仿宋_GB2312" w:cs="Times New Roman"/>
          <w:color w:val="000000"/>
          <w:sz w:val="32"/>
          <w:szCs w:val="32"/>
        </w:rPr>
        <w:t>；</w:t>
      </w:r>
    </w:p>
    <w:p>
      <w:pPr>
        <w:ind w:left="566"/>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 暂停或</w:t>
      </w:r>
      <w:r>
        <w:rPr>
          <w:rFonts w:ascii="Times New Roman" w:hAnsi="Times New Roman" w:eastAsia="仿宋_GB2312" w:cs="Times New Roman"/>
          <w:color w:val="000000"/>
          <w:sz w:val="32"/>
          <w:szCs w:val="32"/>
        </w:rPr>
        <w:t>终止</w:t>
      </w:r>
      <w:r>
        <w:rPr>
          <w:rFonts w:hint="eastAsia" w:ascii="Times New Roman" w:hAnsi="Times New Roman" w:eastAsia="仿宋_GB2312" w:cs="Times New Roman"/>
          <w:dstrike/>
          <w:color w:val="000000"/>
          <w:sz w:val="32"/>
          <w:szCs w:val="32"/>
        </w:rPr>
        <w:t>交易商</w:t>
      </w:r>
      <w:r>
        <w:rPr>
          <w:rFonts w:hint="eastAsia" w:ascii="Times New Roman" w:hAnsi="Times New Roman" w:eastAsia="仿宋_GB2312" w:cs="Times New Roman"/>
          <w:color w:val="000000"/>
          <w:sz w:val="32"/>
          <w:szCs w:val="32"/>
        </w:rPr>
        <w:t>相关</w:t>
      </w:r>
      <w:r>
        <w:rPr>
          <w:rFonts w:ascii="Times New Roman" w:hAnsi="Times New Roman" w:eastAsia="仿宋_GB2312" w:cs="Times New Roman"/>
          <w:color w:val="000000"/>
          <w:sz w:val="32"/>
          <w:szCs w:val="32"/>
        </w:rPr>
        <w:t>资格；</w:t>
      </w:r>
    </w:p>
    <w:p>
      <w:pPr>
        <w:ind w:left="56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第七十一条 交易所认定交易</w:t>
      </w:r>
      <w:r>
        <w:rPr>
          <w:rFonts w:cs="Times New Roman"/>
          <w:dstrike/>
          <w:color w:val="000000"/>
          <w:szCs w:val="32"/>
        </w:rPr>
        <w:t>商</w:t>
      </w:r>
      <w:r>
        <w:rPr>
          <w:rFonts w:hint="eastAsia" w:cs="Times New Roman"/>
          <w:color w:val="000000"/>
          <w:szCs w:val="32"/>
          <w:shd w:val="pct10" w:color="auto" w:fill="FFFFFF"/>
        </w:rPr>
        <w:t>参与者</w:t>
      </w:r>
      <w:r>
        <w:rPr>
          <w:rFonts w:hint="eastAsia" w:cs="Times New Roman"/>
          <w:color w:val="000000"/>
          <w:szCs w:val="32"/>
        </w:rPr>
        <w:t>违规的，应当制作违规处理决定书。</w:t>
      </w:r>
    </w:p>
    <w:p>
      <w:pPr>
        <w:tabs>
          <w:tab w:val="left" w:pos="1620"/>
          <w:tab w:val="left" w:pos="1800"/>
        </w:tabs>
        <w:ind w:firstLine="566" w:firstLineChars="177"/>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违规处理决定书应列明以下内容： </w:t>
      </w:r>
    </w:p>
    <w:p>
      <w:pPr>
        <w:widowControl/>
        <w:numPr>
          <w:ilvl w:val="0"/>
          <w:numId w:val="4"/>
        </w:numPr>
        <w:tabs>
          <w:tab w:val="left" w:pos="567"/>
        </w:tabs>
        <w:spacing w:line="580" w:lineRule="exact"/>
        <w:ind w:left="0" w:firstLine="566" w:firstLineChars="177"/>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dstrike/>
          <w:color w:val="000000"/>
          <w:sz w:val="32"/>
          <w:szCs w:val="32"/>
        </w:rPr>
        <w:t>交易商</w:t>
      </w:r>
      <w:r>
        <w:rPr>
          <w:rFonts w:hint="eastAsia" w:ascii="Times New Roman" w:hAnsi="Times New Roman" w:eastAsia="仿宋_GB2312" w:cs="Times New Roman"/>
          <w:color w:val="000000"/>
          <w:sz w:val="32"/>
          <w:szCs w:val="32"/>
        </w:rPr>
        <w:t xml:space="preserve">名称、住所地； </w:t>
      </w:r>
    </w:p>
    <w:p>
      <w:pPr>
        <w:tabs>
          <w:tab w:val="left" w:pos="567"/>
        </w:tabs>
        <w:ind w:left="56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shd w:val="pct10" w:color="auto" w:fill="FFFFFF"/>
        </w:rPr>
        <w:t>第七十二条</w:t>
      </w:r>
      <w:r>
        <w:rPr>
          <w:rFonts w:hint="eastAsia" w:cs="Times New Roman"/>
          <w:color w:val="000000"/>
          <w:szCs w:val="32"/>
        </w:rPr>
        <w:t xml:space="preserve"> 违规处理决定书将以邮寄或电子邮件的形式告知交易</w:t>
      </w:r>
      <w:r>
        <w:rPr>
          <w:rFonts w:cs="Times New Roman"/>
          <w:dstrike/>
          <w:color w:val="000000"/>
          <w:szCs w:val="32"/>
        </w:rPr>
        <w:t>商</w:t>
      </w:r>
      <w:r>
        <w:rPr>
          <w:rFonts w:hint="eastAsia" w:cs="Times New Roman"/>
          <w:color w:val="000000"/>
          <w:szCs w:val="32"/>
          <w:shd w:val="pct10" w:color="auto" w:fill="FFFFFF"/>
        </w:rPr>
        <w:t>参与者</w:t>
      </w:r>
      <w:r>
        <w:rPr>
          <w:rFonts w:hint="eastAsia" w:cs="Times New Roman"/>
          <w:color w:val="000000"/>
          <w:szCs w:val="32"/>
        </w:rPr>
        <w:t>。</w:t>
      </w:r>
      <w:r>
        <w:rPr>
          <w:rFonts w:cs="Times New Roman"/>
          <w:color w:val="000000"/>
          <w:szCs w:val="32"/>
        </w:rPr>
        <w:t>……</w:t>
      </w:r>
      <w:r>
        <w:rPr>
          <w:rFonts w:hint="eastAsia" w:cs="Times New Roman"/>
          <w:color w:val="000000"/>
          <w:szCs w:val="32"/>
        </w:rPr>
        <w:t>以电子邮件方式告知的，电子邮件发送至交易</w:t>
      </w:r>
      <w:r>
        <w:rPr>
          <w:rFonts w:cs="Times New Roman"/>
          <w:dstrike/>
          <w:color w:val="000000"/>
          <w:szCs w:val="32"/>
        </w:rPr>
        <w:t>商</w:t>
      </w:r>
      <w:r>
        <w:rPr>
          <w:rFonts w:hint="eastAsia" w:cs="Times New Roman"/>
          <w:color w:val="000000"/>
          <w:szCs w:val="32"/>
          <w:shd w:val="pct10" w:color="auto" w:fill="FFFFFF"/>
        </w:rPr>
        <w:t>参与者</w:t>
      </w:r>
      <w:r>
        <w:rPr>
          <w:rFonts w:hint="eastAsia" w:cs="Times New Roman"/>
          <w:color w:val="000000"/>
          <w:szCs w:val="32"/>
        </w:rPr>
        <w:t>电子邮箱时即视为告知。交易</w:t>
      </w:r>
      <w:r>
        <w:rPr>
          <w:rFonts w:cs="Times New Roman"/>
          <w:dstrike/>
          <w:color w:val="000000"/>
          <w:szCs w:val="32"/>
        </w:rPr>
        <w:t>商</w:t>
      </w:r>
      <w:r>
        <w:rPr>
          <w:rFonts w:hint="eastAsia" w:cs="Times New Roman"/>
          <w:color w:val="000000"/>
          <w:szCs w:val="32"/>
          <w:shd w:val="pct10" w:color="auto" w:fill="FFFFFF"/>
        </w:rPr>
        <w:t>参与者</w:t>
      </w:r>
      <w:r>
        <w:rPr>
          <w:rFonts w:hint="eastAsia" w:cs="Times New Roman"/>
          <w:color w:val="000000"/>
          <w:szCs w:val="32"/>
        </w:rPr>
        <w:t>地址及电子邮箱以交易所留存信息为准。</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第七十三条 交易</w:t>
      </w:r>
      <w:r>
        <w:rPr>
          <w:rFonts w:cs="Times New Roman"/>
          <w:dstrike/>
          <w:color w:val="000000"/>
          <w:szCs w:val="32"/>
        </w:rPr>
        <w:t>商</w:t>
      </w:r>
      <w:r>
        <w:rPr>
          <w:rFonts w:hint="eastAsia" w:cs="Times New Roman"/>
          <w:color w:val="000000"/>
          <w:szCs w:val="32"/>
          <w:shd w:val="pct10" w:color="auto" w:fill="FFFFFF"/>
        </w:rPr>
        <w:t>参与者</w:t>
      </w:r>
      <w:r>
        <w:rPr>
          <w:rFonts w:hint="eastAsia" w:cs="Times New Roman"/>
          <w:color w:val="000000"/>
          <w:szCs w:val="32"/>
        </w:rPr>
        <w:t>申请复议，应于告知之日起30个自然日内书面向交易所提出。复议期间，不停止违规处理决定的执行。</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rPr>
        <w:t>第七十四条 交易</w:t>
      </w:r>
      <w:r>
        <w:rPr>
          <w:rFonts w:cs="Times New Roman"/>
          <w:dstrike/>
          <w:color w:val="000000"/>
          <w:szCs w:val="32"/>
        </w:rPr>
        <w:t>商</w:t>
      </w:r>
      <w:r>
        <w:rPr>
          <w:rFonts w:hint="eastAsia" w:cs="Times New Roman"/>
          <w:color w:val="000000"/>
          <w:szCs w:val="32"/>
          <w:shd w:val="pct10" w:color="auto" w:fill="FFFFFF"/>
        </w:rPr>
        <w:t>参与者</w:t>
      </w:r>
      <w:r>
        <w:rPr>
          <w:rFonts w:hint="eastAsia" w:cs="Times New Roman"/>
          <w:color w:val="000000"/>
          <w:szCs w:val="32"/>
        </w:rPr>
        <w:t>发生纠纷或涉嫌违规的</w:t>
      </w:r>
      <w:r>
        <w:rPr>
          <w:rFonts w:cs="Times New Roman"/>
          <w:color w:val="000000"/>
          <w:szCs w:val="32"/>
        </w:rPr>
        <w:t>……</w:t>
      </w:r>
    </w:p>
    <w:p>
      <w:pPr>
        <w:pStyle w:val="6"/>
        <w:tabs>
          <w:tab w:val="left" w:pos="1620"/>
          <w:tab w:val="left" w:pos="1800"/>
        </w:tabs>
        <w:ind w:firstLine="566" w:firstLineChars="177"/>
        <w:rPr>
          <w:rFonts w:cs="Times New Roman"/>
          <w:color w:val="000000"/>
          <w:szCs w:val="32"/>
        </w:rPr>
      </w:pPr>
      <w:r>
        <w:rPr>
          <w:rFonts w:hint="eastAsia" w:cs="Times New Roman"/>
          <w:color w:val="000000"/>
          <w:szCs w:val="32"/>
          <w:shd w:val="pct10" w:color="auto" w:fill="FFFFFF"/>
        </w:rPr>
        <w:t>第七十五条</w:t>
      </w:r>
      <w:r>
        <w:rPr>
          <w:rFonts w:hint="eastAsia" w:cs="Times New Roman"/>
          <w:color w:val="000000"/>
          <w:szCs w:val="32"/>
        </w:rPr>
        <w:t xml:space="preserve"> </w:t>
      </w:r>
      <w:r>
        <w:rPr>
          <w:rFonts w:hint="eastAsia" w:cs="Times New Roman"/>
          <w:color w:val="000000"/>
          <w:szCs w:val="32"/>
        </w:rPr>
        <w:tab/>
      </w:r>
      <w:r>
        <w:rPr>
          <w:rFonts w:hint="eastAsia" w:cs="Times New Roman"/>
          <w:color w:val="000000"/>
          <w:szCs w:val="32"/>
          <w:shd w:val="pct10" w:color="auto" w:fill="FFFFFF"/>
        </w:rPr>
        <w:t>交易所可以为交易商与客户之间的交易提供个性化服务，具体规定另行制定。</w:t>
      </w:r>
    </w:p>
    <w:p>
      <w:pPr>
        <w:pStyle w:val="8"/>
        <w:widowControl/>
        <w:shd w:val="clear" w:color="auto" w:fill="FFFFFF"/>
        <w:autoSpaceDE w:val="0"/>
        <w:snapToGrid w:val="0"/>
        <w:spacing w:line="580" w:lineRule="exact"/>
        <w:ind w:firstLine="640"/>
        <w:jc w:val="left"/>
        <w:rPr>
          <w:rFonts w:ascii="Times New Roman" w:hAnsi="Times New Roman" w:eastAsia="仿宋_GB2312"/>
          <w:kern w:val="0"/>
          <w:sz w:val="32"/>
          <w:szCs w:val="32"/>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Times New Roman"/>
          <w:kern w:val="0"/>
          <w:sz w:val="32"/>
          <w:szCs w:val="32"/>
        </w:rPr>
        <w:t>注：阴影部分为新增内容，双划线部分为删除内容；出现条款增删的，其他条款顺序依次顺延。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34492"/>
    <w:multiLevelType w:val="singleLevel"/>
    <w:tmpl w:val="DD934492"/>
    <w:lvl w:ilvl="0" w:tentative="0">
      <w:start w:val="1"/>
      <w:numFmt w:val="chineseCounting"/>
      <w:suff w:val="nothing"/>
      <w:lvlText w:val="（%1）"/>
      <w:lvlJc w:val="left"/>
      <w:pPr>
        <w:ind w:left="0" w:firstLine="420"/>
      </w:pPr>
      <w:rPr>
        <w:rFonts w:hint="eastAsia" w:ascii="仿宋_GB2312" w:hAnsi="仿宋_GB2312" w:eastAsia="仿宋_GB2312" w:cs="仿宋_GB2312"/>
      </w:rPr>
    </w:lvl>
  </w:abstractNum>
  <w:abstractNum w:abstractNumId="1">
    <w:nsid w:val="26172059"/>
    <w:multiLevelType w:val="singleLevel"/>
    <w:tmpl w:val="26172059"/>
    <w:lvl w:ilvl="0" w:tentative="0">
      <w:start w:val="1"/>
      <w:numFmt w:val="chineseCounting"/>
      <w:suff w:val="nothing"/>
      <w:lvlText w:val="（%1）"/>
      <w:lvlJc w:val="left"/>
      <w:pPr>
        <w:ind w:left="0" w:firstLine="420"/>
      </w:pPr>
      <w:rPr>
        <w:rFonts w:hint="eastAsia" w:ascii="仿宋_GB2312" w:hAnsi="仿宋_GB2312" w:eastAsia="仿宋_GB2312" w:cs="仿宋_GB2312"/>
        <w:lang w:val="en-US"/>
      </w:rPr>
    </w:lvl>
  </w:abstractNum>
  <w:abstractNum w:abstractNumId="2">
    <w:nsid w:val="5C1612E2"/>
    <w:multiLevelType w:val="multilevel"/>
    <w:tmpl w:val="5C1612E2"/>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99B3BDD"/>
    <w:multiLevelType w:val="multilevel"/>
    <w:tmpl w:val="699B3BDD"/>
    <w:lvl w:ilvl="0" w:tentative="0">
      <w:start w:val="1"/>
      <w:numFmt w:val="chineseCountingThousand"/>
      <w:lvlText w:val="（%1）"/>
      <w:lvlJc w:val="left"/>
      <w:pPr>
        <w:ind w:left="2264" w:hanging="420"/>
      </w:pPr>
      <w:rPr>
        <w:rFonts w:cs="Times New Roman"/>
      </w:rPr>
    </w:lvl>
    <w:lvl w:ilvl="1" w:tentative="0">
      <w:start w:val="1"/>
      <w:numFmt w:val="lowerLetter"/>
      <w:lvlText w:val="%2)"/>
      <w:lvlJc w:val="left"/>
      <w:pPr>
        <w:ind w:left="1409" w:hanging="420"/>
      </w:pPr>
      <w:rPr>
        <w:rFonts w:cs="Times New Roman"/>
      </w:rPr>
    </w:lvl>
    <w:lvl w:ilvl="2" w:tentative="0">
      <w:start w:val="1"/>
      <w:numFmt w:val="lowerRoman"/>
      <w:lvlText w:val="%3."/>
      <w:lvlJc w:val="right"/>
      <w:pPr>
        <w:ind w:left="1829" w:hanging="420"/>
      </w:pPr>
      <w:rPr>
        <w:rFonts w:cs="Times New Roman"/>
      </w:rPr>
    </w:lvl>
    <w:lvl w:ilvl="3" w:tentative="0">
      <w:start w:val="1"/>
      <w:numFmt w:val="decimal"/>
      <w:lvlText w:val="%4."/>
      <w:lvlJc w:val="left"/>
      <w:pPr>
        <w:ind w:left="2249" w:hanging="420"/>
      </w:pPr>
      <w:rPr>
        <w:rFonts w:cs="Times New Roman"/>
      </w:rPr>
    </w:lvl>
    <w:lvl w:ilvl="4" w:tentative="0">
      <w:start w:val="1"/>
      <w:numFmt w:val="lowerLetter"/>
      <w:lvlText w:val="%5)"/>
      <w:lvlJc w:val="left"/>
      <w:pPr>
        <w:ind w:left="2669" w:hanging="420"/>
      </w:pPr>
      <w:rPr>
        <w:rFonts w:cs="Times New Roman"/>
      </w:rPr>
    </w:lvl>
    <w:lvl w:ilvl="5" w:tentative="0">
      <w:start w:val="1"/>
      <w:numFmt w:val="lowerRoman"/>
      <w:lvlText w:val="%6."/>
      <w:lvlJc w:val="right"/>
      <w:pPr>
        <w:ind w:left="3089" w:hanging="420"/>
      </w:pPr>
      <w:rPr>
        <w:rFonts w:cs="Times New Roman"/>
      </w:rPr>
    </w:lvl>
    <w:lvl w:ilvl="6" w:tentative="0">
      <w:start w:val="1"/>
      <w:numFmt w:val="decimal"/>
      <w:lvlText w:val="%7."/>
      <w:lvlJc w:val="left"/>
      <w:pPr>
        <w:ind w:left="3509" w:hanging="420"/>
      </w:pPr>
      <w:rPr>
        <w:rFonts w:cs="Times New Roman"/>
      </w:rPr>
    </w:lvl>
    <w:lvl w:ilvl="7" w:tentative="0">
      <w:start w:val="1"/>
      <w:numFmt w:val="lowerLetter"/>
      <w:lvlText w:val="%8)"/>
      <w:lvlJc w:val="left"/>
      <w:pPr>
        <w:ind w:left="3929" w:hanging="420"/>
      </w:pPr>
      <w:rPr>
        <w:rFonts w:cs="Times New Roman"/>
      </w:rPr>
    </w:lvl>
    <w:lvl w:ilvl="8" w:tentative="0">
      <w:start w:val="1"/>
      <w:numFmt w:val="lowerRoman"/>
      <w:lvlText w:val="%9."/>
      <w:lvlJc w:val="right"/>
      <w:pPr>
        <w:ind w:left="4349" w:hanging="420"/>
      </w:pPr>
      <w:rPr>
        <w:rFonts w:cs="Times New Roman"/>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149F7"/>
    <w:rsid w:val="19B00692"/>
    <w:rsid w:val="1C40777D"/>
    <w:rsid w:val="2C85750A"/>
    <w:rsid w:val="318E0E1E"/>
    <w:rsid w:val="328A0C39"/>
    <w:rsid w:val="36F611B3"/>
    <w:rsid w:val="40722DB0"/>
    <w:rsid w:val="4A097D88"/>
    <w:rsid w:val="4DBC1994"/>
    <w:rsid w:val="51BF5ED6"/>
    <w:rsid w:val="5F877FB3"/>
    <w:rsid w:val="6E370476"/>
    <w:rsid w:val="73152D7D"/>
    <w:rsid w:val="79F8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等线" w:hAnsi="等线" w:eastAsia="等线" w:cs="Times New Roman"/>
      <w:kern w:val="2"/>
      <w:sz w:val="18"/>
      <w:szCs w:val="18"/>
      <w:lang w:val="en-US" w:eastAsia="zh-CN" w:bidi="ar-SA"/>
    </w:rPr>
  </w:style>
  <w:style w:type="paragraph" w:styleId="3">
    <w:name w:val="Normal (Web)"/>
    <w:qFormat/>
    <w:uiPriority w:val="99"/>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 w:type="paragraph" w:customStyle="1" w:styleId="6">
    <w:name w:val="列出段落1"/>
    <w:qFormat/>
    <w:uiPriority w:val="99"/>
    <w:pPr>
      <w:widowControl/>
      <w:spacing w:line="580" w:lineRule="exact"/>
      <w:ind w:firstLine="420" w:firstLineChars="200"/>
      <w:jc w:val="left"/>
    </w:pPr>
    <w:rPr>
      <w:rFonts w:ascii="Times New Roman" w:hAnsi="Times New Roman" w:eastAsia="仿宋_GB2312" w:cs="Times New Roman"/>
      <w:kern w:val="0"/>
      <w:sz w:val="32"/>
      <w:szCs w:val="24"/>
      <w:lang w:val="en-US" w:eastAsia="zh-CN" w:bidi="ar-SA"/>
    </w:rPr>
  </w:style>
  <w:style w:type="character" w:customStyle="1" w:styleId="7">
    <w:name w:val="fontstyle01"/>
    <w:qFormat/>
    <w:uiPriority w:val="0"/>
    <w:rPr>
      <w:rFonts w:ascii="仿宋_GB2312" w:hAnsi="仿宋_GB2312" w:eastAsia="仿宋_GB2312" w:cs="仿宋_GB2312"/>
      <w:color w:val="000000"/>
      <w:sz w:val="32"/>
      <w:szCs w:val="32"/>
    </w:rPr>
  </w:style>
  <w:style w:type="paragraph" w:styleId="8">
    <w:name w:val="List Paragraph"/>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2021-04-01T08:39:00Z</dcterms:created>
  <dc:creator>研究所2</dc:creator>
  <cp:lastModifiedBy>吴国均</cp:lastModifiedBy>
  <dcterms:modified xsi:type="dcterms:W3CDTF">2021-11-19T06:04:44Z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FA37B83617774E168D38B7EE1467AB2C</vt:lpwstr>
  </property>
</Properties>
</file>