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C7" w:rsidRPr="0085083A" w:rsidRDefault="00DF6EC7" w:rsidP="00DF6EC7">
      <w:pPr>
        <w:widowControl/>
        <w:spacing w:line="580" w:lineRule="exact"/>
        <w:jc w:val="left"/>
        <w:rPr>
          <w:rFonts w:eastAsia="黑体"/>
          <w:kern w:val="0"/>
          <w:sz w:val="44"/>
          <w:szCs w:val="44"/>
        </w:rPr>
      </w:pPr>
      <w:r w:rsidRPr="0085083A">
        <w:rPr>
          <w:rFonts w:eastAsia="黑体"/>
          <w:kern w:val="0"/>
          <w:szCs w:val="32"/>
        </w:rPr>
        <w:t>附件</w:t>
      </w:r>
      <w:r w:rsidRPr="0085083A">
        <w:rPr>
          <w:rFonts w:eastAsia="黑体"/>
          <w:kern w:val="0"/>
          <w:szCs w:val="32"/>
        </w:rPr>
        <w:t>1</w:t>
      </w:r>
    </w:p>
    <w:p w:rsidR="00DF6EC7" w:rsidRPr="0085083A" w:rsidRDefault="00DF6EC7" w:rsidP="00DF6EC7">
      <w:pPr>
        <w:widowControl/>
        <w:spacing w:line="580" w:lineRule="exact"/>
        <w:jc w:val="center"/>
        <w:rPr>
          <w:rFonts w:eastAsia="宋体"/>
          <w:b/>
          <w:kern w:val="0"/>
          <w:sz w:val="40"/>
          <w:szCs w:val="32"/>
        </w:rPr>
      </w:pPr>
      <w:r w:rsidRPr="0085083A">
        <w:rPr>
          <w:rFonts w:eastAsia="宋体"/>
          <w:b/>
          <w:kern w:val="0"/>
          <w:sz w:val="40"/>
          <w:szCs w:val="32"/>
        </w:rPr>
        <w:t>《大连商品交易所期权交易管理办法》修正案</w:t>
      </w:r>
    </w:p>
    <w:p w:rsidR="00DF6EC7" w:rsidRPr="0085083A" w:rsidRDefault="00DF6EC7" w:rsidP="00DF6EC7">
      <w:pPr>
        <w:widowControl/>
        <w:spacing w:line="580" w:lineRule="exact"/>
        <w:jc w:val="center"/>
        <w:rPr>
          <w:b/>
          <w:kern w:val="0"/>
          <w:szCs w:val="32"/>
        </w:rPr>
      </w:pPr>
    </w:p>
    <w:p w:rsidR="00DF6EC7" w:rsidRPr="0085083A" w:rsidRDefault="00DF6EC7" w:rsidP="00DF6EC7">
      <w:pPr>
        <w:spacing w:line="580" w:lineRule="exact"/>
        <w:ind w:firstLineChars="200" w:firstLine="640"/>
        <w:rPr>
          <w:szCs w:val="32"/>
        </w:rPr>
      </w:pPr>
      <w:r w:rsidRPr="0085083A">
        <w:rPr>
          <w:szCs w:val="32"/>
        </w:rPr>
        <w:t>第五十二条</w:t>
      </w:r>
      <w:r w:rsidRPr="0085083A">
        <w:rPr>
          <w:szCs w:val="32"/>
        </w:rPr>
        <w:t xml:space="preserve"> </w:t>
      </w:r>
      <w:r w:rsidRPr="0085083A">
        <w:rPr>
          <w:szCs w:val="32"/>
        </w:rPr>
        <w:t>期权合约与期货合约不合并限仓。期权合约</w:t>
      </w:r>
      <w:r w:rsidRPr="0085083A">
        <w:rPr>
          <w:szCs w:val="32"/>
          <w:shd w:val="pct10" w:color="auto" w:fill="FFFFFF"/>
        </w:rPr>
        <w:t>限仓</w:t>
      </w:r>
      <w:r w:rsidRPr="0085083A">
        <w:rPr>
          <w:dstrike/>
          <w:szCs w:val="32"/>
        </w:rPr>
        <w:t>在其交易过程中的不同时间阶段，分别适用不同的持仓限额。</w:t>
      </w:r>
      <w:r w:rsidRPr="0085083A">
        <w:rPr>
          <w:szCs w:val="32"/>
        </w:rPr>
        <w:t>时间阶段的划分与标的期货合约相同。</w:t>
      </w:r>
    </w:p>
    <w:p w:rsidR="00DF6EC7" w:rsidRPr="0085083A" w:rsidRDefault="00DF6EC7" w:rsidP="00DF6EC7">
      <w:pPr>
        <w:spacing w:line="580" w:lineRule="exact"/>
        <w:ind w:firstLineChars="200" w:firstLine="640"/>
        <w:rPr>
          <w:szCs w:val="32"/>
        </w:rPr>
      </w:pPr>
      <w:r w:rsidRPr="0085083A">
        <w:rPr>
          <w:szCs w:val="32"/>
        </w:rPr>
        <w:t>非期货公司会员和客户持有的某月份期权合约中所有看涨期权的买持仓量和看跌期权的卖持仓量之和、看跌期权的买持仓量和看涨期权的卖持仓量之和，分别不得超过</w:t>
      </w:r>
      <w:proofErr w:type="gramStart"/>
      <w:r w:rsidRPr="0085083A">
        <w:rPr>
          <w:dstrike/>
          <w:szCs w:val="32"/>
        </w:rPr>
        <w:t>同阶段</w:t>
      </w:r>
      <w:r w:rsidRPr="0085083A">
        <w:rPr>
          <w:szCs w:val="32"/>
          <w:shd w:val="pct10" w:color="auto" w:fill="FFFFFF"/>
        </w:rPr>
        <w:t>期</w:t>
      </w:r>
      <w:proofErr w:type="gramEnd"/>
      <w:r w:rsidRPr="0085083A">
        <w:rPr>
          <w:szCs w:val="32"/>
          <w:shd w:val="pct10" w:color="auto" w:fill="FFFFFF"/>
        </w:rPr>
        <w:t>权</w:t>
      </w:r>
      <w:r w:rsidRPr="0085083A">
        <w:rPr>
          <w:dstrike/>
          <w:szCs w:val="32"/>
        </w:rPr>
        <w:t>标的期货</w:t>
      </w:r>
      <w:r w:rsidRPr="0085083A">
        <w:rPr>
          <w:szCs w:val="32"/>
        </w:rPr>
        <w:t>合约的</w:t>
      </w:r>
      <w:r w:rsidRPr="0085083A">
        <w:rPr>
          <w:dstrike/>
          <w:szCs w:val="32"/>
        </w:rPr>
        <w:t>单边</w:t>
      </w:r>
      <w:r w:rsidRPr="0085083A">
        <w:rPr>
          <w:szCs w:val="32"/>
        </w:rPr>
        <w:t>持仓限额。</w:t>
      </w:r>
      <w:r w:rsidRPr="0085083A">
        <w:rPr>
          <w:szCs w:val="32"/>
          <w:shd w:val="pct10" w:color="auto" w:fill="FFFFFF"/>
        </w:rPr>
        <w:t>期权合约的持仓限额由交易所另行规定并公布，</w:t>
      </w:r>
      <w:r w:rsidRPr="0085083A">
        <w:rPr>
          <w:szCs w:val="32"/>
        </w:rPr>
        <w:t>交易所可以根据市场情况</w:t>
      </w:r>
      <w:r w:rsidRPr="0085083A">
        <w:rPr>
          <w:dstrike/>
          <w:szCs w:val="32"/>
        </w:rPr>
        <w:t>对期权限</w:t>
      </w:r>
      <w:proofErr w:type="gramStart"/>
      <w:r w:rsidRPr="0085083A">
        <w:rPr>
          <w:dstrike/>
          <w:szCs w:val="32"/>
        </w:rPr>
        <w:t>仓标准</w:t>
      </w:r>
      <w:proofErr w:type="gramEnd"/>
      <w:r w:rsidRPr="0085083A">
        <w:rPr>
          <w:szCs w:val="32"/>
        </w:rPr>
        <w:t>进行调整</w:t>
      </w:r>
      <w:r w:rsidRPr="0085083A">
        <w:rPr>
          <w:dstrike/>
          <w:szCs w:val="32"/>
        </w:rPr>
        <w:t>并公布</w:t>
      </w:r>
      <w:r w:rsidRPr="0085083A">
        <w:rPr>
          <w:szCs w:val="32"/>
        </w:rPr>
        <w:t>。</w:t>
      </w:r>
    </w:p>
    <w:p w:rsidR="00DF6EC7" w:rsidRPr="0085083A" w:rsidRDefault="00DF6EC7" w:rsidP="00DF6EC7">
      <w:pPr>
        <w:spacing w:line="580" w:lineRule="exact"/>
        <w:ind w:firstLineChars="200" w:firstLine="640"/>
        <w:rPr>
          <w:szCs w:val="32"/>
        </w:rPr>
      </w:pPr>
      <w:r w:rsidRPr="0085083A">
        <w:rPr>
          <w:szCs w:val="32"/>
        </w:rPr>
        <w:t>非期货公司会员和客户进行套期保值、套利交易以及从事做市商业务，其持仓限额按照交易所有关规定执行。</w:t>
      </w:r>
    </w:p>
    <w:p w:rsidR="00DF6EC7" w:rsidRPr="0085083A" w:rsidRDefault="00DF6EC7" w:rsidP="00DF6EC7">
      <w:pPr>
        <w:ind w:firstLine="645"/>
        <w:rPr>
          <w:szCs w:val="32"/>
        </w:rPr>
      </w:pPr>
    </w:p>
    <w:p w:rsidR="005A2685" w:rsidRPr="0085083A" w:rsidRDefault="00DF6EC7" w:rsidP="005A2685">
      <w:pPr>
        <w:widowControl/>
        <w:spacing w:line="375" w:lineRule="atLeast"/>
        <w:ind w:firstLineChars="200" w:firstLine="480"/>
        <w:jc w:val="left"/>
        <w:rPr>
          <w:color w:val="333333"/>
          <w:szCs w:val="32"/>
        </w:rPr>
      </w:pPr>
      <w:r w:rsidRPr="0085083A">
        <w:rPr>
          <w:rFonts w:eastAsia="楷体_GB2312"/>
          <w:sz w:val="24"/>
          <w:szCs w:val="20"/>
        </w:rPr>
        <w:t>注：阴影部分为新增内容，双划线部分为删除内容。</w:t>
      </w:r>
      <w:bookmarkStart w:id="0" w:name="_GoBack"/>
      <w:bookmarkEnd w:id="0"/>
    </w:p>
    <w:p w:rsidR="00612847" w:rsidRPr="0085083A" w:rsidRDefault="0061284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p>
    <w:sectPr w:rsidR="00612847" w:rsidRPr="0085083A" w:rsidSect="0085083A">
      <w:footerReference w:type="even" r:id="rId6"/>
      <w:footerReference w:type="default" r:id="rId7"/>
      <w:footerReference w:type="first" r:id="rId8"/>
      <w:pgSz w:w="11906" w:h="16838"/>
      <w:pgMar w:top="2098" w:right="1588" w:bottom="1718" w:left="1588" w:header="851" w:footer="1440"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C7" w:rsidRDefault="00DF6EC7" w:rsidP="00DF6EC7">
      <w:r>
        <w:separator/>
      </w:r>
    </w:p>
  </w:endnote>
  <w:endnote w:type="continuationSeparator" w:id="0">
    <w:p w:rsidR="00DF6EC7" w:rsidRDefault="00DF6EC7" w:rsidP="00DF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97718"/>
      <w:docPartObj>
        <w:docPartGallery w:val="Page Numbers (Bottom of Page)"/>
        <w:docPartUnique/>
      </w:docPartObj>
    </w:sdtPr>
    <w:sdtEndPr/>
    <w:sdtContent>
      <w:p w:rsidR="0085083A" w:rsidRDefault="0085083A" w:rsidP="0085083A">
        <w:pPr>
          <w:pStyle w:val="a5"/>
          <w:jc w:val="center"/>
        </w:pPr>
        <w:r>
          <w:fldChar w:fldCharType="begin"/>
        </w:r>
        <w:r>
          <w:instrText>PAGE   \* MERGEFORMAT</w:instrText>
        </w:r>
        <w:r>
          <w:fldChar w:fldCharType="separate"/>
        </w:r>
        <w:r w:rsidR="005A2685" w:rsidRPr="005A2685">
          <w:rPr>
            <w:noProof/>
            <w:lang w:val="zh-CN"/>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91427"/>
      <w:docPartObj>
        <w:docPartGallery w:val="Page Numbers (Bottom of Page)"/>
        <w:docPartUnique/>
      </w:docPartObj>
    </w:sdtPr>
    <w:sdtEndPr/>
    <w:sdtContent>
      <w:p w:rsidR="00715C9D" w:rsidRDefault="00715C9D" w:rsidP="00715C9D">
        <w:pPr>
          <w:pStyle w:val="a5"/>
          <w:jc w:val="center"/>
        </w:pPr>
        <w:r>
          <w:fldChar w:fldCharType="begin"/>
        </w:r>
        <w:r>
          <w:instrText>PAGE   \* MERGEFORMAT</w:instrText>
        </w:r>
        <w:r>
          <w:fldChar w:fldCharType="separate"/>
        </w:r>
        <w:r w:rsidR="005A2685" w:rsidRPr="005A2685">
          <w:rPr>
            <w:noProof/>
            <w:lang w:val="zh-CN"/>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994563"/>
      <w:docPartObj>
        <w:docPartGallery w:val="Page Numbers (Bottom of Page)"/>
        <w:docPartUnique/>
      </w:docPartObj>
    </w:sdtPr>
    <w:sdtEndPr/>
    <w:sdtContent>
      <w:p w:rsidR="0085083A" w:rsidRDefault="0085083A" w:rsidP="0085083A">
        <w:pPr>
          <w:pStyle w:val="a5"/>
          <w:jc w:val="center"/>
        </w:pPr>
        <w:r>
          <w:fldChar w:fldCharType="begin"/>
        </w:r>
        <w:r>
          <w:instrText>PAGE   \* MERGEFORMAT</w:instrText>
        </w:r>
        <w:r>
          <w:fldChar w:fldCharType="separate"/>
        </w:r>
        <w:r w:rsidR="005A2685" w:rsidRPr="005A268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C7" w:rsidRDefault="00DF6EC7" w:rsidP="00DF6EC7">
      <w:r>
        <w:separator/>
      </w:r>
    </w:p>
  </w:footnote>
  <w:footnote w:type="continuationSeparator" w:id="0">
    <w:p w:rsidR="00DF6EC7" w:rsidRDefault="00DF6EC7" w:rsidP="00DF6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4E"/>
    <w:rsid w:val="00180FCC"/>
    <w:rsid w:val="003A444E"/>
    <w:rsid w:val="005A2685"/>
    <w:rsid w:val="00612847"/>
    <w:rsid w:val="00715C9D"/>
    <w:rsid w:val="0085083A"/>
    <w:rsid w:val="00D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7536A"/>
  <w15:chartTrackingRefBased/>
  <w15:docId w15:val="{D571D8A6-FDC6-4E5E-B212-E4E78016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EC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E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6EC7"/>
    <w:rPr>
      <w:sz w:val="18"/>
      <w:szCs w:val="18"/>
    </w:rPr>
  </w:style>
  <w:style w:type="paragraph" w:styleId="a5">
    <w:name w:val="footer"/>
    <w:basedOn w:val="a"/>
    <w:link w:val="a6"/>
    <w:uiPriority w:val="99"/>
    <w:unhideWhenUsed/>
    <w:rsid w:val="00DF6E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6EC7"/>
    <w:rPr>
      <w:sz w:val="18"/>
      <w:szCs w:val="18"/>
    </w:rPr>
  </w:style>
  <w:style w:type="paragraph" w:styleId="a7">
    <w:name w:val="Normal (Web)"/>
    <w:basedOn w:val="a"/>
    <w:rsid w:val="00DF6EC7"/>
    <w:pPr>
      <w:widowControl/>
      <w:spacing w:before="100" w:beforeAutospacing="1" w:after="100" w:afterAutospacing="1"/>
      <w:jc w:val="left"/>
    </w:pPr>
    <w:rPr>
      <w:rFonts w:ascii="宋体" w:hAnsi="宋体" w:cs="宋体"/>
      <w:kern w:val="0"/>
      <w:sz w:val="24"/>
    </w:rPr>
  </w:style>
  <w:style w:type="paragraph" w:styleId="a8">
    <w:name w:val="Date"/>
    <w:basedOn w:val="a"/>
    <w:next w:val="a"/>
    <w:link w:val="a9"/>
    <w:uiPriority w:val="99"/>
    <w:semiHidden/>
    <w:unhideWhenUsed/>
    <w:rsid w:val="0085083A"/>
    <w:pPr>
      <w:ind w:leftChars="2500" w:left="100"/>
    </w:pPr>
  </w:style>
  <w:style w:type="character" w:customStyle="1" w:styleId="a9">
    <w:name w:val="日期 字符"/>
    <w:basedOn w:val="a0"/>
    <w:link w:val="a8"/>
    <w:uiPriority w:val="99"/>
    <w:semiHidden/>
    <w:rsid w:val="0085083A"/>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王皓如</dc:creator>
  <cp:keywords/>
  <dc:description/>
  <cp:lastModifiedBy>孙怀</cp:lastModifiedBy>
  <cp:revision>6</cp:revision>
  <dcterms:created xsi:type="dcterms:W3CDTF">2021-04-13T03:09:00Z</dcterms:created>
  <dcterms:modified xsi:type="dcterms:W3CDTF">2021-04-13T05:43:00Z</dcterms:modified>
</cp:coreProperties>
</file>