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8272" w14:textId="7DFD8FCB" w:rsidR="00AC590A" w:rsidRPr="00C934B2" w:rsidRDefault="001C0819">
      <w:pPr>
        <w:rPr>
          <w:rFonts w:ascii="Times New Roman" w:eastAsia="黑体" w:cs="Times New Roman"/>
        </w:rPr>
      </w:pPr>
      <w:bookmarkStart w:id="0" w:name="_GoBack"/>
      <w:bookmarkEnd w:id="0"/>
      <w:r w:rsidRPr="00C934B2">
        <w:rPr>
          <w:rFonts w:ascii="Times New Roman" w:eastAsia="黑体" w:cs="Times New Roman"/>
        </w:rPr>
        <w:t>附件</w:t>
      </w:r>
      <w:r w:rsidRPr="00C934B2">
        <w:rPr>
          <w:rFonts w:ascii="Times New Roman" w:eastAsia="黑体" w:cs="Times New Roman"/>
        </w:rPr>
        <w:t>2</w:t>
      </w:r>
    </w:p>
    <w:p w14:paraId="6B428273" w14:textId="77777777" w:rsidR="00AC590A" w:rsidRPr="00C934B2" w:rsidRDefault="00AC590A">
      <w:pPr>
        <w:rPr>
          <w:rFonts w:ascii="Times New Roman" w:eastAsia="黑体" w:cs="Times New Roman"/>
        </w:rPr>
      </w:pPr>
    </w:p>
    <w:tbl>
      <w:tblPr>
        <w:tblW w:w="13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75"/>
        <w:gridCol w:w="634"/>
        <w:gridCol w:w="7888"/>
        <w:gridCol w:w="1848"/>
        <w:gridCol w:w="1882"/>
      </w:tblGrid>
      <w:tr w:rsidR="00AC590A" w:rsidRPr="00C934B2" w14:paraId="6B428275" w14:textId="77777777">
        <w:trPr>
          <w:trHeight w:val="502"/>
        </w:trPr>
        <w:tc>
          <w:tcPr>
            <w:tcW w:w="1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428274" w14:textId="77777777" w:rsidR="00AC590A" w:rsidRPr="00C934B2" w:rsidRDefault="001C0819">
            <w:pPr>
              <w:widowControl/>
              <w:spacing w:line="240" w:lineRule="atLeast"/>
              <w:jc w:val="center"/>
              <w:rPr>
                <w:rFonts w:ascii="Times New Roman" w:eastAsia="宋体" w:cs="Times New Roman"/>
                <w:color w:val="000000"/>
                <w:sz w:val="22"/>
                <w:szCs w:val="22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大连商品交易所豆油指定交割仓库入出库费用最高限价</w:t>
            </w:r>
          </w:p>
        </w:tc>
      </w:tr>
      <w:tr w:rsidR="00AC590A" w:rsidRPr="00C934B2" w14:paraId="6B42827C" w14:textId="77777777">
        <w:trPr>
          <w:trHeight w:val="960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6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收费名称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7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8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计量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9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主要作业内容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2827A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中央储备粮天津保税区直属库有限公司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42827B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路易达孚（天津）食品科技有限责任公司</w:t>
            </w:r>
          </w:p>
        </w:tc>
      </w:tr>
      <w:tr w:rsidR="00AC590A" w:rsidRPr="00C934B2" w14:paraId="6B428283" w14:textId="77777777">
        <w:trPr>
          <w:trHeight w:val="48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D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入库费用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E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7F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0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作业费（库场管理、操作输油管线）、过磅费等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1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2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AC590A" w:rsidRPr="00C934B2" w14:paraId="6B42828A" w14:textId="77777777">
        <w:trPr>
          <w:trHeight w:val="39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4" w14:textId="77777777" w:rsidR="00AC590A" w:rsidRPr="00C934B2" w:rsidRDefault="00AC590A">
            <w:pPr>
              <w:widowControl/>
              <w:spacing w:line="240" w:lineRule="atLeast"/>
              <w:jc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5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6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7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铁路包干费：铁路代垫费用、作业费（库场管理、操作输油管线）、过磅费等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8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9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AC590A" w:rsidRPr="00C934B2" w14:paraId="6B428291" w14:textId="77777777">
        <w:trPr>
          <w:trHeight w:val="47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B" w14:textId="77777777" w:rsidR="00AC590A" w:rsidRPr="00C934B2" w:rsidRDefault="00AC590A">
            <w:pPr>
              <w:widowControl/>
              <w:spacing w:line="240" w:lineRule="atLeast"/>
              <w:jc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C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D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E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作业费（从驳船到油罐输送费用、库场管理）、检重费等，不包含港建费和货物港务费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8F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0" w14:textId="3C7178F5" w:rsidR="00AC590A" w:rsidRPr="00C934B2" w:rsidRDefault="00FC3FF8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AC590A" w:rsidRPr="00C934B2" w14:paraId="6B428298" w14:textId="77777777">
        <w:trPr>
          <w:trHeight w:val="34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2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出库费用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3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汽车运输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4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5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作业费（库场管理、操作输油管线）、过磅费等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6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7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AC590A" w:rsidRPr="00C934B2" w14:paraId="6B42829F" w14:textId="77777777">
        <w:trPr>
          <w:trHeight w:val="4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9" w14:textId="77777777" w:rsidR="00AC590A" w:rsidRPr="00C934B2" w:rsidRDefault="00AC590A">
            <w:pPr>
              <w:widowControl/>
              <w:spacing w:line="240" w:lineRule="atLeast"/>
              <w:jc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A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B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C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铁路包干费：铁路代垫费用、作业费（库场管理、操作输油管线）、过磅费等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D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9E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AC590A" w:rsidRPr="00C934B2" w14:paraId="6B4282A6" w14:textId="77777777">
        <w:trPr>
          <w:trHeight w:val="549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0" w14:textId="77777777" w:rsidR="00AC590A" w:rsidRPr="00C934B2" w:rsidRDefault="00AC590A">
            <w:pPr>
              <w:widowControl/>
              <w:spacing w:line="240" w:lineRule="atLeast"/>
              <w:jc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1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船舶运输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2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吨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3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作业费（从油罐到驳船输送费用、库场管理）、过磅费等，不包含港建费和货物港务费等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4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5" w14:textId="6EADC3B7" w:rsidR="00AC590A" w:rsidRPr="00C934B2" w:rsidRDefault="00FC3FF8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AC590A" w:rsidRPr="00C934B2" w14:paraId="6B4282AB" w14:textId="77777777">
        <w:trPr>
          <w:trHeight w:val="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7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港口运距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8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仓库至最近港口的运距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9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天津港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A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临港粮油码头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1.6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 w:rsidR="00AC590A" w:rsidRPr="00C934B2" w14:paraId="6B4282B0" w14:textId="77777777">
        <w:trPr>
          <w:trHeight w:val="16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C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铁路运距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D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仓库至最近车站的运距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E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新港站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AF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塘沽站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 w:rsidR="00AC590A" w:rsidRPr="00C934B2" w14:paraId="6B4282B5" w14:textId="77777777">
        <w:trPr>
          <w:trHeight w:val="31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B1" w14:textId="77777777" w:rsidR="00AC590A" w:rsidRPr="00C934B2" w:rsidRDefault="00AC590A">
            <w:pPr>
              <w:widowControl/>
              <w:spacing w:line="240" w:lineRule="atLeast"/>
              <w:jc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B2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有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无铁路专用线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B3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282B4" w14:textId="77777777" w:rsidR="00AC590A" w:rsidRPr="00C934B2" w:rsidRDefault="001C0819">
            <w:pPr>
              <w:widowControl/>
              <w:spacing w:line="240" w:lineRule="atLeast"/>
              <w:jc w:val="center"/>
              <w:textAlignment w:val="center"/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C934B2">
              <w:rPr>
                <w:rFonts w:asci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</w:tbl>
    <w:p w14:paraId="6B4283C5" w14:textId="77777777" w:rsidR="00AC590A" w:rsidRPr="00C934B2" w:rsidRDefault="00AC590A" w:rsidP="005B14C1">
      <w:pPr>
        <w:pStyle w:val="a6"/>
        <w:jc w:val="both"/>
      </w:pPr>
    </w:p>
    <w:sectPr w:rsidR="00AC590A" w:rsidRPr="00C934B2" w:rsidSect="00C934B2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83CB" w14:textId="77777777" w:rsidR="00743C8A" w:rsidRDefault="00743C8A">
      <w:pPr>
        <w:spacing w:line="240" w:lineRule="auto"/>
      </w:pPr>
      <w:r>
        <w:separator/>
      </w:r>
    </w:p>
  </w:endnote>
  <w:endnote w:type="continuationSeparator" w:id="0">
    <w:p w14:paraId="6B4283CD" w14:textId="77777777" w:rsidR="00743C8A" w:rsidRDefault="0074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3C6" w14:textId="77777777" w:rsidR="00743C8A" w:rsidRDefault="00743C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4283C7" wp14:editId="6B4283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83C9" w14:textId="00A67744" w:rsidR="00743C8A" w:rsidRDefault="00743C8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3D4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83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283C9" w14:textId="00A67744" w:rsidR="00743C8A" w:rsidRDefault="00743C8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3D4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83C7" w14:textId="77777777" w:rsidR="00743C8A" w:rsidRDefault="00743C8A">
      <w:pPr>
        <w:spacing w:line="240" w:lineRule="auto"/>
      </w:pPr>
      <w:r>
        <w:separator/>
      </w:r>
    </w:p>
  </w:footnote>
  <w:footnote w:type="continuationSeparator" w:id="0">
    <w:p w14:paraId="6B4283C9" w14:textId="77777777" w:rsidR="00743C8A" w:rsidRDefault="00743C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186977"/>
    <w:multiLevelType w:val="singleLevel"/>
    <w:tmpl w:val="8D1869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9295B"/>
    <w:multiLevelType w:val="multilevel"/>
    <w:tmpl w:val="0619295B"/>
    <w:lvl w:ilvl="0">
      <w:start w:val="1"/>
      <w:numFmt w:val="none"/>
      <w:suff w:val="nothing"/>
      <w:lvlText w:val=""/>
      <w:lvlJc w:val="left"/>
      <w:pPr>
        <w:ind w:left="0" w:firstLine="640"/>
      </w:pPr>
      <w:rPr>
        <w:rFonts w:hint="default"/>
      </w:rPr>
    </w:lvl>
    <w:lvl w:ilvl="1">
      <w:start w:val="1"/>
      <w:numFmt w:val="chineseCountingThousand"/>
      <w:pStyle w:val="1"/>
      <w:suff w:val="nothing"/>
      <w:lvlText w:val="%2、"/>
      <w:lvlJc w:val="left"/>
      <w:pPr>
        <w:ind w:left="0" w:firstLine="641"/>
      </w:pPr>
      <w:rPr>
        <w:rFonts w:hint="eastAsia"/>
      </w:rPr>
    </w:lvl>
    <w:lvl w:ilvl="2">
      <w:start w:val="1"/>
      <w:numFmt w:val="chineseCountingThousand"/>
      <w:pStyle w:val="2"/>
      <w:suff w:val="nothing"/>
      <w:lvlText w:val="（%3）"/>
      <w:lvlJc w:val="left"/>
      <w:pPr>
        <w:ind w:left="0" w:firstLine="641"/>
      </w:pPr>
      <w:rPr>
        <w:rFonts w:hint="eastAsia"/>
      </w:rPr>
    </w:lvl>
    <w:lvl w:ilvl="3">
      <w:start w:val="1"/>
      <w:numFmt w:val="decimal"/>
      <w:pStyle w:val="3"/>
      <w:suff w:val="nothing"/>
      <w:lvlText w:val="%4. "/>
      <w:lvlJc w:val="left"/>
      <w:pPr>
        <w:ind w:left="0" w:firstLine="641"/>
      </w:pPr>
      <w:rPr>
        <w:rFonts w:hint="eastAsia"/>
      </w:rPr>
    </w:lvl>
    <w:lvl w:ilvl="4">
      <w:start w:val="1"/>
      <w:numFmt w:val="decimal"/>
      <w:pStyle w:val="4"/>
      <w:suff w:val="nothing"/>
      <w:lvlText w:val="（%5）"/>
      <w:lvlJc w:val="left"/>
      <w:pPr>
        <w:ind w:left="0" w:firstLine="641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0A"/>
    <w:rsid w:val="0003793C"/>
    <w:rsid w:val="000C138C"/>
    <w:rsid w:val="000D58B5"/>
    <w:rsid w:val="00110F67"/>
    <w:rsid w:val="001C0819"/>
    <w:rsid w:val="001E4494"/>
    <w:rsid w:val="001E5124"/>
    <w:rsid w:val="0029157F"/>
    <w:rsid w:val="002A0F87"/>
    <w:rsid w:val="00352AF7"/>
    <w:rsid w:val="00357BD0"/>
    <w:rsid w:val="003822FC"/>
    <w:rsid w:val="004109E2"/>
    <w:rsid w:val="00412327"/>
    <w:rsid w:val="004A18DA"/>
    <w:rsid w:val="005B14C1"/>
    <w:rsid w:val="00611089"/>
    <w:rsid w:val="006245C9"/>
    <w:rsid w:val="006750A7"/>
    <w:rsid w:val="006F2996"/>
    <w:rsid w:val="00714179"/>
    <w:rsid w:val="00743C8A"/>
    <w:rsid w:val="008B3D4A"/>
    <w:rsid w:val="0091429E"/>
    <w:rsid w:val="009759D8"/>
    <w:rsid w:val="009767CA"/>
    <w:rsid w:val="00A257D4"/>
    <w:rsid w:val="00AC590A"/>
    <w:rsid w:val="00B044AB"/>
    <w:rsid w:val="00B472D4"/>
    <w:rsid w:val="00BA7F11"/>
    <w:rsid w:val="00C33333"/>
    <w:rsid w:val="00C55D1A"/>
    <w:rsid w:val="00C934B2"/>
    <w:rsid w:val="00CC5E10"/>
    <w:rsid w:val="00DF76C6"/>
    <w:rsid w:val="00DF7CF7"/>
    <w:rsid w:val="00E0778E"/>
    <w:rsid w:val="00E262B9"/>
    <w:rsid w:val="00E26FDE"/>
    <w:rsid w:val="00E35E57"/>
    <w:rsid w:val="00E64326"/>
    <w:rsid w:val="00EE5312"/>
    <w:rsid w:val="00EF2DC6"/>
    <w:rsid w:val="00FC3FF8"/>
    <w:rsid w:val="00FD286A"/>
    <w:rsid w:val="012D68C3"/>
    <w:rsid w:val="013B32E2"/>
    <w:rsid w:val="07C91C38"/>
    <w:rsid w:val="083C67F6"/>
    <w:rsid w:val="09064057"/>
    <w:rsid w:val="0CD87713"/>
    <w:rsid w:val="0FAA3ACC"/>
    <w:rsid w:val="10677A31"/>
    <w:rsid w:val="125358EE"/>
    <w:rsid w:val="155B6083"/>
    <w:rsid w:val="174B1130"/>
    <w:rsid w:val="17853402"/>
    <w:rsid w:val="1BBA1456"/>
    <w:rsid w:val="21DB0962"/>
    <w:rsid w:val="2EEC3AAC"/>
    <w:rsid w:val="30581D51"/>
    <w:rsid w:val="32F84288"/>
    <w:rsid w:val="35B30651"/>
    <w:rsid w:val="35D06FC4"/>
    <w:rsid w:val="36364763"/>
    <w:rsid w:val="3EB90B6E"/>
    <w:rsid w:val="3EC2007E"/>
    <w:rsid w:val="43E12D8E"/>
    <w:rsid w:val="44F31337"/>
    <w:rsid w:val="4C1A7CDB"/>
    <w:rsid w:val="54002BF0"/>
    <w:rsid w:val="55CC464E"/>
    <w:rsid w:val="563D129E"/>
    <w:rsid w:val="58EC66A3"/>
    <w:rsid w:val="5E07350A"/>
    <w:rsid w:val="62164D34"/>
    <w:rsid w:val="64CD548B"/>
    <w:rsid w:val="66437222"/>
    <w:rsid w:val="69D507D5"/>
    <w:rsid w:val="793A6518"/>
    <w:rsid w:val="79621F0A"/>
    <w:rsid w:val="7C1A44F8"/>
    <w:rsid w:val="7C3001B4"/>
    <w:rsid w:val="7CE91C9C"/>
    <w:rsid w:val="7D5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428029"/>
  <w15:docId w15:val="{DA950049-51A1-42DD-8BA5-E3367BF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numPr>
        <w:ilvl w:val="1"/>
        <w:numId w:val="1"/>
      </w:numPr>
      <w:outlineLvl w:val="0"/>
    </w:pPr>
    <w:rPr>
      <w:rFonts w:ascii="Times New Roman" w:eastAsia="黑体" w:cs="黑体"/>
    </w:rPr>
  </w:style>
  <w:style w:type="paragraph" w:styleId="2">
    <w:name w:val="heading 2"/>
    <w:basedOn w:val="a"/>
    <w:next w:val="a"/>
    <w:link w:val="20"/>
    <w:unhideWhenUsed/>
    <w:qFormat/>
    <w:pPr>
      <w:numPr>
        <w:ilvl w:val="2"/>
        <w:numId w:val="1"/>
      </w:numPr>
      <w:outlineLvl w:val="1"/>
    </w:pPr>
    <w:rPr>
      <w:rFonts w:ascii="Times New Roman" w:eastAsia="楷体" w:cs="楷体"/>
    </w:rPr>
  </w:style>
  <w:style w:type="paragraph" w:styleId="3">
    <w:name w:val="heading 3"/>
    <w:basedOn w:val="a"/>
    <w:next w:val="a"/>
    <w:unhideWhenUsed/>
    <w:qFormat/>
    <w:pPr>
      <w:numPr>
        <w:ilvl w:val="3"/>
        <w:numId w:val="1"/>
      </w:numPr>
      <w:outlineLvl w:val="2"/>
    </w:pPr>
    <w:rPr>
      <w:rFonts w:ascii="Times New Roman" w:eastAsia="仿宋" w:cs="Times New Roman"/>
    </w:rPr>
  </w:style>
  <w:style w:type="paragraph" w:styleId="4">
    <w:name w:val="heading 4"/>
    <w:basedOn w:val="a"/>
    <w:next w:val="a"/>
    <w:unhideWhenUsed/>
    <w:qFormat/>
    <w:pPr>
      <w:numPr>
        <w:ilvl w:val="4"/>
        <w:numId w:val="1"/>
      </w:numPr>
      <w:outlineLvl w:val="3"/>
    </w:pPr>
    <w:rPr>
      <w:rFonts w:ascii="Times New Roman" w:eastAsia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jc w:val="center"/>
    </w:pPr>
    <w:rPr>
      <w:rFonts w:ascii="Times New Roman" w:eastAsia="宋体" w:cs="Times New Roman"/>
      <w:b/>
      <w:bCs/>
      <w:sz w:val="44"/>
      <w:szCs w:val="4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Times New Roman" w:eastAsia="楷体" w:cs="楷体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  <w:szCs w:val="22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paragraph" w:styleId="aa">
    <w:name w:val="Balloon Text"/>
    <w:basedOn w:val="a"/>
    <w:link w:val="ab"/>
    <w:rsid w:val="00B044A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B044AB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FDF603-E145-4001-BD1B-5E9468D64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A733A-9B4F-4A02-851E-15D7C1BBE81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f16167e-0980-47ed-bfa9-106d2637988c"/>
  </ds:schemaRefs>
</ds:datastoreItem>
</file>

<file path=customXml/itemProps3.xml><?xml version="1.0" encoding="utf-8"?>
<ds:datastoreItem xmlns:ds="http://schemas.openxmlformats.org/officeDocument/2006/customXml" ds:itemID="{6F0EA770-6E1D-46BA-9583-53ABA457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227</Words>
  <Characters>247</Characters>
  <Application>Microsoft Office Word</Application>
  <DocSecurity>0</DocSecurity>
  <Lines>35</Lines>
  <Paragraphs>43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王靖媛</cp:lastModifiedBy>
  <cp:revision>39</cp:revision>
  <cp:lastPrinted>2020-09-21T06:54:00Z</cp:lastPrinted>
  <dcterms:created xsi:type="dcterms:W3CDTF">2020-08-20T01:00:00Z</dcterms:created>
  <dcterms:modified xsi:type="dcterms:W3CDTF">2020-09-29T06:53:00Z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