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077D" w14:textId="77777777" w:rsidR="00396A21" w:rsidRDefault="00396A21" w:rsidP="00396A21">
      <w:pPr>
        <w:rPr>
          <w:rFonts w:ascii="黑体" w:eastAsia="黑体" w:hAnsi="黑体"/>
          <w:sz w:val="32"/>
          <w:szCs w:val="32"/>
        </w:rPr>
      </w:pPr>
      <w:r w:rsidRPr="003178FB">
        <w:rPr>
          <w:rFonts w:ascii="黑体" w:eastAsia="黑体" w:hAnsi="黑体" w:hint="eastAsia"/>
          <w:sz w:val="32"/>
          <w:szCs w:val="32"/>
        </w:rPr>
        <w:t>附件4</w:t>
      </w:r>
    </w:p>
    <w:p w14:paraId="4C5F1D54" w14:textId="77777777" w:rsidR="00396A21" w:rsidRDefault="00396A21" w:rsidP="00396A21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77F4EDF6" w14:textId="77777777" w:rsidR="00396A21" w:rsidRDefault="00396A21" w:rsidP="00396A21">
      <w:pPr>
        <w:jc w:val="center"/>
        <w:rPr>
          <w:rFonts w:ascii="宋体" w:eastAsia="宋体" w:hAnsi="宋体"/>
          <w:b/>
          <w:sz w:val="44"/>
          <w:szCs w:val="44"/>
        </w:rPr>
      </w:pPr>
      <w:r w:rsidRPr="003178FB">
        <w:rPr>
          <w:rFonts w:ascii="宋体" w:eastAsia="宋体" w:hAnsi="宋体" w:hint="eastAsia"/>
          <w:b/>
          <w:sz w:val="44"/>
          <w:szCs w:val="44"/>
        </w:rPr>
        <w:t>大连商品交易所聚丙烯、线型低密度聚乙烯和聚氯乙烯</w:t>
      </w:r>
      <w:r>
        <w:rPr>
          <w:rFonts w:ascii="宋体" w:eastAsia="宋体" w:hAnsi="宋体" w:hint="eastAsia"/>
          <w:b/>
          <w:sz w:val="44"/>
          <w:szCs w:val="44"/>
        </w:rPr>
        <w:t>期货</w:t>
      </w:r>
      <w:r w:rsidRPr="003178FB">
        <w:rPr>
          <w:rFonts w:ascii="宋体" w:eastAsia="宋体" w:hAnsi="宋体" w:hint="eastAsia"/>
          <w:b/>
          <w:sz w:val="44"/>
          <w:szCs w:val="44"/>
        </w:rPr>
        <w:t>期权合约（征求意见稿）起草说明</w:t>
      </w:r>
    </w:p>
    <w:p w14:paraId="0A59FD64" w14:textId="77777777" w:rsidR="00396A21" w:rsidRPr="004D4EBF" w:rsidRDefault="00396A21" w:rsidP="00396A21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395AA518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一、合约标的</w:t>
      </w:r>
    </w:p>
    <w:p w14:paraId="657C534C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聚丙烯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期权合约的标的物为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聚丙烯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期货合约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，线型低密度聚乙烯期权合约的标的物为线型低密度聚乙烯期货合约，聚氯乙烯期权合约的标的为聚氯乙烯期货合约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。与现货相比，商品期货标准化程度高，价格公开、透明、连续，更适于作为期权的标的物。</w:t>
      </w:r>
    </w:p>
    <w:p w14:paraId="6D9472AF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二、交易代码</w:t>
      </w:r>
    </w:p>
    <w:p w14:paraId="730088E0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交易代码采用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PP(L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V)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合约月份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-C-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行权价格（看涨期权）、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PP(L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V)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-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合约月份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-P-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行权价格（看跌期权）的格式，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C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和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P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分别代表看涨期权和看跌期权的合约类型代码。如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PP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-200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-C-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，代表标的为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月交割的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聚丙烯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期货、行权价格为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吨的看涨期权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14:paraId="768FE964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三、交易单位</w:t>
      </w:r>
    </w:p>
    <w:p w14:paraId="09F99073" w14:textId="77777777" w:rsidR="00396A21" w:rsidRPr="0002407A" w:rsidRDefault="00396A21" w:rsidP="00396A21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期权交易单位是指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手期权合约对应标的期货合约的数量。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手聚丙烯期权对应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手（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吨）聚丙烯期货合约，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手线型低密度聚乙烯期权对应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手（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吨）线型低密度聚乙烯期货合约，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手聚氯乙烯期权对应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手（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吨）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聚氯乙烯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期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货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合约。</w:t>
      </w:r>
    </w:p>
    <w:p w14:paraId="46274DA4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四、报价单位</w:t>
      </w:r>
    </w:p>
    <w:p w14:paraId="6CDA5974" w14:textId="77777777" w:rsidR="00396A21" w:rsidRPr="00E33A36" w:rsidRDefault="00396A21" w:rsidP="00396A21">
      <w:pPr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聚丙烯</w:t>
      </w:r>
      <w:r w:rsidRPr="00E33A36">
        <w:rPr>
          <w:rFonts w:ascii="仿宋_GB2312" w:eastAsia="仿宋_GB2312" w:hAnsi="仿宋" w:cs="仿宋_GB2312" w:hint="eastAsia"/>
          <w:sz w:val="32"/>
          <w:szCs w:val="32"/>
        </w:rPr>
        <w:t>期权</w:t>
      </w:r>
      <w:r>
        <w:rPr>
          <w:rFonts w:ascii="仿宋_GB2312" w:eastAsia="仿宋_GB2312" w:hAnsi="仿宋" w:cs="仿宋_GB2312" w:hint="eastAsia"/>
          <w:sz w:val="32"/>
          <w:szCs w:val="32"/>
        </w:rPr>
        <w:t>、线型低密度聚乙烯期权和聚氯乙烯期权的合约报价单位</w:t>
      </w:r>
      <w:r w:rsidRPr="00E33A36">
        <w:rPr>
          <w:rFonts w:ascii="仿宋_GB2312" w:eastAsia="仿宋_GB2312" w:hAnsi="仿宋" w:cs="仿宋_GB2312" w:hint="eastAsia"/>
          <w:sz w:val="32"/>
          <w:szCs w:val="32"/>
        </w:rPr>
        <w:t>与</w:t>
      </w:r>
      <w:r>
        <w:rPr>
          <w:rFonts w:ascii="仿宋_GB2312" w:eastAsia="仿宋_GB2312" w:hAnsi="仿宋" w:cs="仿宋_GB2312" w:hint="eastAsia"/>
          <w:sz w:val="32"/>
          <w:szCs w:val="32"/>
        </w:rPr>
        <w:t>各自</w:t>
      </w:r>
      <w:r w:rsidRPr="00E33A36">
        <w:rPr>
          <w:rFonts w:ascii="仿宋_GB2312" w:eastAsia="仿宋_GB2312" w:hAnsi="仿宋" w:cs="仿宋_GB2312" w:hint="eastAsia"/>
          <w:sz w:val="32"/>
          <w:szCs w:val="32"/>
        </w:rPr>
        <w:t>标的期货合约一致，为元（人民币）/吨。</w:t>
      </w:r>
    </w:p>
    <w:p w14:paraId="0FA69EEB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五、最小变动价位</w:t>
      </w:r>
    </w:p>
    <w:p w14:paraId="062B66E1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最小变动价位是指该期权合约单位价格涨跌变动的最小值。从已上市期权品种运行情况来看，通常浅虚值期权合约较为活跃，其价格波动小于标的期货的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1/2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，设置较小的最小变动价位，有利于提高报价精度，使期权价格能够及时、有效反映标的期货价格的变动。因此，聚丙烯、线型低密度聚乙烯和聚氯乙烯期权最小变动价位均设置为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0.5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吨，与标的期货最小变动价位的比例不超过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1/2</w:t>
      </w:r>
      <w:r w:rsidRPr="0002407A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14:paraId="4A16807B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六、涨跌停板幅度</w:t>
      </w:r>
    </w:p>
    <w:p w14:paraId="5C4BD81B" w14:textId="77777777" w:rsidR="00396A21" w:rsidRPr="004D4EBF" w:rsidRDefault="00396A21" w:rsidP="00396A21">
      <w:pPr>
        <w:spacing w:line="58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涨跌停板幅度是指期权合约在一个交易日中上涨或下跌的最大值。</w:t>
      </w:r>
      <w:r w:rsidRPr="00E33A36">
        <w:rPr>
          <w:rFonts w:ascii="仿宋_GB2312" w:eastAsia="仿宋_GB2312" w:hAnsi="仿宋" w:cs="仿宋_GB2312" w:hint="eastAsia"/>
          <w:sz w:val="32"/>
          <w:szCs w:val="32"/>
        </w:rPr>
        <w:t>我所</w:t>
      </w:r>
      <w:r>
        <w:rPr>
          <w:rFonts w:ascii="仿宋_GB2312" w:eastAsia="仿宋_GB2312" w:hAnsi="仿宋" w:cs="仿宋_GB2312" w:hint="eastAsia"/>
          <w:sz w:val="32"/>
          <w:szCs w:val="32"/>
        </w:rPr>
        <w:t>聚丙烯、线型低密度聚乙烯和聚氯乙烯期权</w:t>
      </w:r>
      <w:r w:rsidRPr="00E33A36">
        <w:rPr>
          <w:rFonts w:ascii="仿宋_GB2312" w:eastAsia="仿宋_GB2312" w:hAnsi="仿宋" w:cs="仿宋_GB2312" w:hint="eastAsia"/>
          <w:sz w:val="32"/>
          <w:szCs w:val="32"/>
        </w:rPr>
        <w:t>合约涨跌停板幅度与</w:t>
      </w:r>
      <w:r>
        <w:rPr>
          <w:rFonts w:ascii="仿宋_GB2312" w:eastAsia="仿宋_GB2312" w:hAnsi="仿宋" w:cs="仿宋_GB2312" w:hint="eastAsia"/>
          <w:sz w:val="32"/>
          <w:szCs w:val="32"/>
        </w:rPr>
        <w:t>各自</w:t>
      </w:r>
      <w:r w:rsidRPr="00E33A36">
        <w:rPr>
          <w:rFonts w:ascii="仿宋_GB2312" w:eastAsia="仿宋_GB2312" w:hAnsi="仿宋" w:cs="仿宋_GB2312" w:hint="eastAsia"/>
          <w:sz w:val="32"/>
          <w:szCs w:val="32"/>
        </w:rPr>
        <w:t>标的期货合约涨跌停板幅度相同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。当期权价格小于停板幅度时，跌停板价格取期权合约的最小变动价位。</w:t>
      </w:r>
    </w:p>
    <w:p w14:paraId="64AE7373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七、行权方式</w:t>
      </w:r>
    </w:p>
    <w:p w14:paraId="138FF559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聚丙烯、线型低密度聚乙烯和聚氯乙烯期货期权均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是美式期权，买方在合约到期日及其之前任一交易日均可行使权利。美式期权行权灵活便利，可以降低期权集中到期行权对标的市场运行的影响，是国际市场商品期货期权的主流行权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方式。</w:t>
      </w:r>
    </w:p>
    <w:p w14:paraId="14C40065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八、合约月份</w:t>
      </w:r>
    </w:p>
    <w:p w14:paraId="3E4FEAD9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合约月份是指期权合约对应的标的期货合约的交割月份。</w:t>
      </w:r>
      <w:r>
        <w:rPr>
          <w:rFonts w:ascii="仿宋_GB2312" w:eastAsia="仿宋_GB2312" w:hAnsi="仿宋" w:cs="仿宋_GB2312" w:hint="eastAsia"/>
          <w:sz w:val="32"/>
          <w:szCs w:val="32"/>
        </w:rPr>
        <w:t>聚丙烯、线型低密度聚乙烯和聚氯乙烯期权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合约月份</w:t>
      </w:r>
      <w:r>
        <w:rPr>
          <w:rFonts w:ascii="仿宋_GB2312" w:eastAsia="仿宋_GB2312" w:hAnsi="Calibri" w:hint="eastAsia"/>
          <w:kern w:val="0"/>
          <w:sz w:val="32"/>
          <w:szCs w:val="32"/>
        </w:rPr>
        <w:t>均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为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5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6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7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8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9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10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11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12</w:t>
      </w:r>
      <w:r w:rsidRPr="0002407A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，与</w:t>
      </w:r>
      <w:r>
        <w:rPr>
          <w:rFonts w:ascii="仿宋_GB2312" w:eastAsia="仿宋_GB2312" w:hAnsi="Calibri" w:hint="eastAsia"/>
          <w:kern w:val="0"/>
          <w:sz w:val="32"/>
          <w:szCs w:val="32"/>
        </w:rPr>
        <w:t>各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标的期货合约月份一致。期货合约的所有月份均有对应的期权合约，便于每一期货合约都有可选择的期权合约进行套期保值和策略组合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14:paraId="1AF15D9A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九、行权价格</w:t>
      </w:r>
    </w:p>
    <w:p w14:paraId="38A09D76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期权行权价格是指由期权合约规定的，买方有权在将来某一时间买入或者卖出标的期货合约的价格。期权行权价格覆盖的范围应该适当宽泛，即便在期货价格波动较大时，仍然能够满足投资者对平值、实值、虚值期权的避险需求。在一定范围内，期权的行权价格数量应当适量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数量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过多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会分散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单一期权合约的流动性，过少则可能导致缺乏相应合约构建策略组合。</w:t>
      </w:r>
    </w:p>
    <w:p w14:paraId="04C57A68" w14:textId="722BF814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随着期货价格的变动，到期日前的每一个交易日我所将根据上一交易日标的期货</w:t>
      </w:r>
      <w:r w:rsidR="00E92A8E">
        <w:rPr>
          <w:rFonts w:ascii="仿宋_GB2312" w:eastAsia="仿宋_GB2312" w:hAnsi="Times New Roman" w:hint="eastAsia"/>
          <w:kern w:val="0"/>
          <w:sz w:val="32"/>
          <w:szCs w:val="32"/>
        </w:rPr>
        <w:t>合约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结算价上下浮动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1.5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倍当日涨跌停板幅度对应的价格范围，增挂新行权价格的期</w:t>
      </w:r>
      <w:bookmarkStart w:id="0" w:name="_GoBack"/>
      <w:bookmarkEnd w:id="0"/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权合约，满足投资者多样化避险需求。</w:t>
      </w:r>
    </w:p>
    <w:p w14:paraId="26F5A6A6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十、行权价格间距</w:t>
      </w:r>
    </w:p>
    <w:p w14:paraId="3906F0FE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行权价格间距是指相邻两个行权价格之间的差。从</w:t>
      </w:r>
      <w:r>
        <w:rPr>
          <w:rFonts w:ascii="仿宋_GB2312" w:eastAsia="仿宋_GB2312" w:hAnsi="仿宋" w:cs="仿宋_GB2312" w:hint="eastAsia"/>
          <w:sz w:val="32"/>
          <w:szCs w:val="32"/>
        </w:rPr>
        <w:t>聚丙烯、线型低密度聚乙烯和聚氯乙烯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期货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历史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数据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来看，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三个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化工品期货价格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主要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吨区间内波动。我所采用分段式行权价格间距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的方式，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三个化工品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期权行权价格小于等于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吨时，行权价格间距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均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吨；行权价格大于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吨且小于等于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吨时，行权价格间距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均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吨；行权价格大于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100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吨时，行权价格间距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均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00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元</w:t>
      </w:r>
      <w:r w:rsidRPr="004D4EBF">
        <w:rPr>
          <w:rFonts w:ascii="Times New Roman" w:eastAsia="仿宋_GB2312" w:hAnsi="Times New Roman"/>
          <w:kern w:val="0"/>
          <w:sz w:val="32"/>
          <w:szCs w:val="32"/>
        </w:rPr>
        <w:t>/</w:t>
      </w:r>
      <w:r w:rsidRPr="004D4EBF">
        <w:rPr>
          <w:rFonts w:ascii="Times New Roman" w:eastAsia="仿宋_GB2312" w:hAnsi="Times New Roman" w:hint="eastAsia"/>
          <w:kern w:val="0"/>
          <w:sz w:val="32"/>
          <w:szCs w:val="32"/>
        </w:rPr>
        <w:t>吨。</w:t>
      </w:r>
    </w:p>
    <w:p w14:paraId="5A580D13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十一、交易时间</w:t>
      </w:r>
    </w:p>
    <w:p w14:paraId="7EFA72B5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聚丙烯、线型低密度聚乙烯和聚氯乙烯期权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交易时间与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各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标的期货一致。</w:t>
      </w:r>
    </w:p>
    <w:p w14:paraId="690F7DAA" w14:textId="77777777" w:rsidR="00396A21" w:rsidRPr="004D4EBF" w:rsidRDefault="00396A21" w:rsidP="00396A21">
      <w:pPr>
        <w:spacing w:line="580" w:lineRule="exact"/>
        <w:ind w:firstLine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4D4EBF">
        <w:rPr>
          <w:rFonts w:ascii="黑体" w:eastAsia="黑体" w:hAnsi="黑体" w:hint="eastAsia"/>
          <w:kern w:val="0"/>
          <w:sz w:val="32"/>
          <w:szCs w:val="32"/>
        </w:rPr>
        <w:t>十二、最后交易日与到期日</w:t>
      </w:r>
    </w:p>
    <w:p w14:paraId="1254E2F7" w14:textId="77777777" w:rsidR="00396A21" w:rsidRPr="004D4EBF" w:rsidRDefault="00396A21" w:rsidP="00396A21">
      <w:pPr>
        <w:spacing w:line="58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最后交易日是指期权合约可以进行交易的最后一个交易日，到期日同最后交易日。为保证期权买方（卖方）在最后交易日能够顺利行权（履约），同时保证到期日后有充裕的时间对行权（履约）获得的期货持仓进行了结，</w:t>
      </w:r>
      <w:r>
        <w:rPr>
          <w:rFonts w:ascii="仿宋_GB2312" w:eastAsia="仿宋_GB2312" w:hAnsi="仿宋" w:cs="仿宋_GB2312" w:hint="eastAsia"/>
          <w:sz w:val="32"/>
          <w:szCs w:val="32"/>
        </w:rPr>
        <w:t>聚丙烯、线型低密度聚乙烯和聚氯乙烯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期权</w:t>
      </w:r>
      <w:r>
        <w:rPr>
          <w:rFonts w:ascii="仿宋_GB2312" w:eastAsia="仿宋_GB2312" w:hAnsi="Calibri" w:hint="eastAsia"/>
          <w:kern w:val="0"/>
          <w:sz w:val="32"/>
          <w:szCs w:val="32"/>
        </w:rPr>
        <w:t>合约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最后交易日设定为</w:t>
      </w:r>
      <w:r>
        <w:rPr>
          <w:rFonts w:ascii="仿宋_GB2312" w:eastAsia="仿宋_GB2312" w:hAnsi="Calibri" w:hint="eastAsia"/>
          <w:kern w:val="0"/>
          <w:sz w:val="32"/>
          <w:szCs w:val="32"/>
        </w:rPr>
        <w:t>各</w:t>
      </w:r>
      <w:r w:rsidRPr="004D4EBF">
        <w:rPr>
          <w:rFonts w:ascii="仿宋_GB2312" w:eastAsia="仿宋_GB2312" w:hAnsi="Calibri" w:hint="eastAsia"/>
          <w:kern w:val="0"/>
          <w:sz w:val="32"/>
          <w:szCs w:val="32"/>
        </w:rPr>
        <w:t>标的期货合约交割月份前一个月的第5个交易日</w:t>
      </w:r>
      <w:r w:rsidRPr="004D4EBF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14:paraId="5D93C90A" w14:textId="77777777" w:rsidR="00396A21" w:rsidRPr="0040289D" w:rsidRDefault="00396A21" w:rsidP="00396A21">
      <w:pPr>
        <w:rPr>
          <w:rFonts w:ascii="宋体" w:eastAsia="宋体" w:hAnsi="宋体"/>
          <w:b/>
          <w:sz w:val="44"/>
          <w:szCs w:val="44"/>
        </w:rPr>
      </w:pPr>
    </w:p>
    <w:p w14:paraId="09945E07" w14:textId="77777777" w:rsidR="00396A21" w:rsidRPr="0002407A" w:rsidRDefault="00396A21" w:rsidP="00396A21"/>
    <w:p w14:paraId="1BE7DA68" w14:textId="77777777" w:rsidR="0020421D" w:rsidRPr="00396A21" w:rsidRDefault="0020421D"/>
    <w:sectPr w:rsidR="0020421D" w:rsidRPr="00396A21" w:rsidSect="00827F7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85F3" w14:textId="77777777" w:rsidR="00396A21" w:rsidRDefault="00396A21" w:rsidP="00396A21">
      <w:r>
        <w:separator/>
      </w:r>
    </w:p>
  </w:endnote>
  <w:endnote w:type="continuationSeparator" w:id="0">
    <w:p w14:paraId="4B209F18" w14:textId="77777777" w:rsidR="00396A21" w:rsidRDefault="00396A21" w:rsidP="0039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3605" w14:textId="59A49729" w:rsidR="00827F7B" w:rsidRDefault="00396A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0726" w:rsidRPr="00F80726">
      <w:rPr>
        <w:noProof/>
        <w:lang w:val="zh-CN"/>
      </w:rPr>
      <w:t>4</w:t>
    </w:r>
    <w:r>
      <w:fldChar w:fldCharType="end"/>
    </w:r>
  </w:p>
  <w:p w14:paraId="516C182F" w14:textId="77777777" w:rsidR="00827F7B" w:rsidRDefault="00F80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3E44" w14:textId="77777777" w:rsidR="00396A21" w:rsidRDefault="00396A21" w:rsidP="00396A21">
      <w:r>
        <w:separator/>
      </w:r>
    </w:p>
  </w:footnote>
  <w:footnote w:type="continuationSeparator" w:id="0">
    <w:p w14:paraId="5A6461FE" w14:textId="77777777" w:rsidR="00396A21" w:rsidRDefault="00396A21" w:rsidP="0039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6F"/>
    <w:rsid w:val="0020421D"/>
    <w:rsid w:val="00396A21"/>
    <w:rsid w:val="004F1581"/>
    <w:rsid w:val="00A4146F"/>
    <w:rsid w:val="00E35067"/>
    <w:rsid w:val="00E92A8E"/>
    <w:rsid w:val="00F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516D4"/>
  <w15:chartTrackingRefBased/>
  <w15:docId w15:val="{4824417F-250C-4AFC-B222-04882AB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2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EDBCE-2BE3-4306-A14D-CFBADFE18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8368D-04AA-4AD7-B46E-8EC9062FC8AD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16167e-0980-47ed-bfa9-106d263798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D27492-52BC-4583-8657-755512936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961</Characters>
  <Application>Microsoft Office Word</Application>
  <DocSecurity>0</DocSecurity>
  <Lines>120</Lines>
  <Paragraphs>102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4</cp:revision>
  <dcterms:created xsi:type="dcterms:W3CDTF">2020-05-25T11:06:00Z</dcterms:created>
  <dcterms:modified xsi:type="dcterms:W3CDTF">2020-05-25T11:32:00Z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