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10C59" w14:textId="77777777" w:rsidR="00726163" w:rsidRPr="00726163" w:rsidRDefault="00726163" w:rsidP="003E3461">
      <w:pPr>
        <w:spacing w:line="580" w:lineRule="exact"/>
        <w:jc w:val="left"/>
        <w:rPr>
          <w:rFonts w:ascii="Times New Roman" w:eastAsia="黑体" w:hAnsi="Times New Roman"/>
          <w:sz w:val="32"/>
          <w:szCs w:val="32"/>
        </w:rPr>
      </w:pPr>
      <w:r w:rsidRPr="00726163">
        <w:rPr>
          <w:rFonts w:ascii="Times New Roman" w:eastAsia="黑体" w:hAnsi="Times New Roman"/>
          <w:sz w:val="32"/>
          <w:szCs w:val="32"/>
        </w:rPr>
        <w:t>附件</w:t>
      </w:r>
      <w:r w:rsidRPr="00726163">
        <w:rPr>
          <w:rFonts w:ascii="Times New Roman" w:eastAsia="黑体" w:hAnsi="Times New Roman"/>
          <w:sz w:val="32"/>
          <w:szCs w:val="32"/>
        </w:rPr>
        <w:t>1</w:t>
      </w:r>
    </w:p>
    <w:p w14:paraId="2D83B17D" w14:textId="77777777" w:rsidR="00726163" w:rsidRPr="00726163" w:rsidRDefault="00726163" w:rsidP="003E3461">
      <w:pPr>
        <w:spacing w:line="580" w:lineRule="exact"/>
        <w:jc w:val="left"/>
        <w:rPr>
          <w:rFonts w:ascii="Times New Roman" w:eastAsia="黑体" w:hAnsi="Times New Roman"/>
          <w:sz w:val="32"/>
          <w:szCs w:val="32"/>
        </w:rPr>
      </w:pPr>
    </w:p>
    <w:p w14:paraId="303CC554" w14:textId="77777777" w:rsidR="00726163" w:rsidRPr="00726163" w:rsidRDefault="00726163" w:rsidP="003E3461">
      <w:pPr>
        <w:spacing w:line="580" w:lineRule="exact"/>
        <w:jc w:val="center"/>
        <w:rPr>
          <w:rFonts w:ascii="Times New Roman" w:eastAsia="宋体" w:hAnsi="Times New Roman"/>
          <w:b/>
          <w:bCs/>
          <w:sz w:val="44"/>
          <w:szCs w:val="44"/>
        </w:rPr>
      </w:pPr>
      <w:r w:rsidRPr="00726163">
        <w:rPr>
          <w:rFonts w:ascii="Times New Roman" w:eastAsia="宋体" w:hAnsi="Times New Roman"/>
          <w:b/>
          <w:bCs/>
          <w:sz w:val="44"/>
          <w:szCs w:val="44"/>
        </w:rPr>
        <w:t>《大连商品交易所液化石油气期货合约》及相关实施细则修正案、修订稿</w:t>
      </w:r>
    </w:p>
    <w:p w14:paraId="266AF4D8" w14:textId="77777777" w:rsidR="00726163" w:rsidRPr="00726163" w:rsidRDefault="00726163" w:rsidP="003E3461">
      <w:pPr>
        <w:spacing w:line="580" w:lineRule="exact"/>
        <w:jc w:val="center"/>
        <w:rPr>
          <w:rFonts w:ascii="Times New Roman" w:eastAsia="仿宋_GB2312" w:hAnsi="Times New Roman"/>
          <w:sz w:val="32"/>
          <w:szCs w:val="32"/>
        </w:rPr>
      </w:pPr>
    </w:p>
    <w:p w14:paraId="703FC753"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大连商品交易所液化石油气期货合约</w:t>
      </w:r>
    </w:p>
    <w:p w14:paraId="59CEB895"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7152"/>
      </w:tblGrid>
      <w:tr w:rsidR="00726163" w:rsidRPr="00726163" w14:paraId="2C1C38A8"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6A8C08AA"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交易品种</w:t>
            </w:r>
          </w:p>
        </w:tc>
        <w:tc>
          <w:tcPr>
            <w:tcW w:w="3638" w:type="pct"/>
            <w:tcBorders>
              <w:top w:val="single" w:sz="4" w:space="0" w:color="auto"/>
              <w:left w:val="single" w:sz="4" w:space="0" w:color="auto"/>
              <w:bottom w:val="single" w:sz="4" w:space="0" w:color="auto"/>
              <w:right w:val="single" w:sz="4" w:space="0" w:color="auto"/>
            </w:tcBorders>
            <w:vAlign w:val="center"/>
            <w:hideMark/>
          </w:tcPr>
          <w:p w14:paraId="1935481D"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液化石油气</w:t>
            </w:r>
          </w:p>
        </w:tc>
      </w:tr>
      <w:tr w:rsidR="00726163" w:rsidRPr="00726163" w14:paraId="0A51043C"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51B660BE"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交易单位</w:t>
            </w:r>
          </w:p>
        </w:tc>
        <w:tc>
          <w:tcPr>
            <w:tcW w:w="3638" w:type="pct"/>
            <w:tcBorders>
              <w:top w:val="single" w:sz="4" w:space="0" w:color="auto"/>
              <w:left w:val="single" w:sz="4" w:space="0" w:color="auto"/>
              <w:bottom w:val="single" w:sz="4" w:space="0" w:color="auto"/>
              <w:right w:val="single" w:sz="4" w:space="0" w:color="auto"/>
            </w:tcBorders>
            <w:vAlign w:val="center"/>
            <w:hideMark/>
          </w:tcPr>
          <w:p w14:paraId="5CAA3F73"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20</w:t>
            </w:r>
            <w:r w:rsidRPr="00726163">
              <w:rPr>
                <w:rFonts w:ascii="Times New Roman" w:eastAsia="仿宋_GB2312" w:hAnsi="Times New Roman"/>
                <w:sz w:val="32"/>
                <w:szCs w:val="32"/>
              </w:rPr>
              <w:t>吨</w:t>
            </w:r>
            <w:r w:rsidRPr="00726163">
              <w:rPr>
                <w:rFonts w:ascii="Times New Roman" w:eastAsia="仿宋_GB2312" w:hAnsi="Times New Roman"/>
                <w:sz w:val="32"/>
                <w:szCs w:val="32"/>
              </w:rPr>
              <w:t>/</w:t>
            </w:r>
            <w:r w:rsidRPr="00726163">
              <w:rPr>
                <w:rFonts w:ascii="Times New Roman" w:eastAsia="仿宋_GB2312" w:hAnsi="Times New Roman"/>
                <w:sz w:val="32"/>
                <w:szCs w:val="32"/>
              </w:rPr>
              <w:t>手</w:t>
            </w:r>
          </w:p>
        </w:tc>
      </w:tr>
      <w:tr w:rsidR="00726163" w:rsidRPr="00726163" w14:paraId="1D6C161E"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611C2306"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报价单位</w:t>
            </w:r>
          </w:p>
        </w:tc>
        <w:tc>
          <w:tcPr>
            <w:tcW w:w="3638" w:type="pct"/>
            <w:tcBorders>
              <w:top w:val="single" w:sz="4" w:space="0" w:color="auto"/>
              <w:left w:val="single" w:sz="4" w:space="0" w:color="auto"/>
              <w:bottom w:val="single" w:sz="4" w:space="0" w:color="auto"/>
              <w:right w:val="single" w:sz="4" w:space="0" w:color="auto"/>
            </w:tcBorders>
            <w:vAlign w:val="center"/>
            <w:hideMark/>
          </w:tcPr>
          <w:p w14:paraId="0F7883FC"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元（人民币）</w:t>
            </w:r>
            <w:r w:rsidRPr="00726163">
              <w:rPr>
                <w:rFonts w:ascii="Times New Roman" w:eastAsia="仿宋_GB2312" w:hAnsi="Times New Roman"/>
                <w:sz w:val="32"/>
                <w:szCs w:val="32"/>
              </w:rPr>
              <w:t>/</w:t>
            </w:r>
            <w:r w:rsidRPr="00726163">
              <w:rPr>
                <w:rFonts w:ascii="Times New Roman" w:eastAsia="仿宋_GB2312" w:hAnsi="Times New Roman"/>
                <w:sz w:val="32"/>
                <w:szCs w:val="32"/>
              </w:rPr>
              <w:t>吨</w:t>
            </w:r>
          </w:p>
        </w:tc>
      </w:tr>
      <w:tr w:rsidR="00726163" w:rsidRPr="00726163" w14:paraId="0F62079F"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56993FE2"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最小变动价位</w:t>
            </w:r>
          </w:p>
        </w:tc>
        <w:tc>
          <w:tcPr>
            <w:tcW w:w="3638" w:type="pct"/>
            <w:tcBorders>
              <w:top w:val="single" w:sz="4" w:space="0" w:color="auto"/>
              <w:left w:val="single" w:sz="4" w:space="0" w:color="auto"/>
              <w:bottom w:val="single" w:sz="4" w:space="0" w:color="auto"/>
              <w:right w:val="single" w:sz="4" w:space="0" w:color="auto"/>
            </w:tcBorders>
            <w:vAlign w:val="center"/>
            <w:hideMark/>
          </w:tcPr>
          <w:p w14:paraId="5034A9C7"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1</w:t>
            </w:r>
            <w:r w:rsidRPr="00726163">
              <w:rPr>
                <w:rFonts w:ascii="Times New Roman" w:eastAsia="仿宋_GB2312" w:hAnsi="Times New Roman"/>
                <w:sz w:val="32"/>
                <w:szCs w:val="32"/>
              </w:rPr>
              <w:t>元</w:t>
            </w:r>
            <w:r w:rsidRPr="00726163">
              <w:rPr>
                <w:rFonts w:ascii="Times New Roman" w:eastAsia="仿宋_GB2312" w:hAnsi="Times New Roman"/>
                <w:sz w:val="32"/>
                <w:szCs w:val="32"/>
              </w:rPr>
              <w:t>/</w:t>
            </w:r>
            <w:r w:rsidRPr="00726163">
              <w:rPr>
                <w:rFonts w:ascii="Times New Roman" w:eastAsia="仿宋_GB2312" w:hAnsi="Times New Roman"/>
                <w:sz w:val="32"/>
                <w:szCs w:val="32"/>
              </w:rPr>
              <w:t>吨</w:t>
            </w:r>
          </w:p>
        </w:tc>
      </w:tr>
      <w:tr w:rsidR="00726163" w:rsidRPr="00726163" w14:paraId="54A45783"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3ECB0773"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涨跌停板幅度</w:t>
            </w:r>
          </w:p>
        </w:tc>
        <w:tc>
          <w:tcPr>
            <w:tcW w:w="3638" w:type="pct"/>
            <w:tcBorders>
              <w:top w:val="single" w:sz="4" w:space="0" w:color="auto"/>
              <w:left w:val="single" w:sz="4" w:space="0" w:color="auto"/>
              <w:bottom w:val="single" w:sz="4" w:space="0" w:color="auto"/>
              <w:right w:val="single" w:sz="4" w:space="0" w:color="auto"/>
            </w:tcBorders>
            <w:vAlign w:val="center"/>
            <w:hideMark/>
          </w:tcPr>
          <w:p w14:paraId="0DE99275"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上一交易日结算价的</w:t>
            </w:r>
            <w:r w:rsidRPr="00726163">
              <w:rPr>
                <w:rFonts w:ascii="Times New Roman" w:eastAsia="仿宋_GB2312" w:hAnsi="Times New Roman"/>
                <w:sz w:val="32"/>
                <w:szCs w:val="32"/>
              </w:rPr>
              <w:t>4</w:t>
            </w:r>
            <w:r w:rsidRPr="00726163">
              <w:rPr>
                <w:rFonts w:ascii="Times New Roman" w:eastAsia="仿宋_GB2312" w:hAnsi="Times New Roman"/>
                <w:sz w:val="32"/>
                <w:szCs w:val="32"/>
              </w:rPr>
              <w:t>％</w:t>
            </w:r>
          </w:p>
        </w:tc>
      </w:tr>
      <w:tr w:rsidR="00726163" w:rsidRPr="00726163" w14:paraId="49B100F3"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3FBE2198"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合约月份</w:t>
            </w:r>
          </w:p>
        </w:tc>
        <w:tc>
          <w:tcPr>
            <w:tcW w:w="3638" w:type="pct"/>
            <w:tcBorders>
              <w:top w:val="single" w:sz="4" w:space="0" w:color="auto"/>
              <w:left w:val="single" w:sz="4" w:space="0" w:color="auto"/>
              <w:bottom w:val="single" w:sz="4" w:space="0" w:color="auto"/>
              <w:right w:val="single" w:sz="4" w:space="0" w:color="auto"/>
            </w:tcBorders>
            <w:vAlign w:val="center"/>
            <w:hideMark/>
          </w:tcPr>
          <w:p w14:paraId="7C1B985C"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1</w:t>
            </w:r>
            <w:r w:rsidRPr="00726163">
              <w:rPr>
                <w:rFonts w:ascii="Times New Roman" w:eastAsia="仿宋_GB2312" w:hAnsi="Times New Roman"/>
                <w:sz w:val="32"/>
                <w:szCs w:val="32"/>
              </w:rPr>
              <w:t>、</w:t>
            </w:r>
            <w:r w:rsidRPr="00726163">
              <w:rPr>
                <w:rFonts w:ascii="Times New Roman" w:eastAsia="仿宋_GB2312" w:hAnsi="Times New Roman"/>
                <w:sz w:val="32"/>
                <w:szCs w:val="32"/>
              </w:rPr>
              <w:t>2</w:t>
            </w:r>
            <w:r w:rsidRPr="00726163">
              <w:rPr>
                <w:rFonts w:ascii="Times New Roman" w:eastAsia="仿宋_GB2312" w:hAnsi="Times New Roman"/>
                <w:sz w:val="32"/>
                <w:szCs w:val="32"/>
              </w:rPr>
              <w:t>、</w:t>
            </w:r>
            <w:r w:rsidRPr="00726163">
              <w:rPr>
                <w:rFonts w:ascii="Times New Roman" w:eastAsia="仿宋_GB2312" w:hAnsi="Times New Roman"/>
                <w:sz w:val="32"/>
                <w:szCs w:val="32"/>
              </w:rPr>
              <w:t>3</w:t>
            </w:r>
            <w:r w:rsidRPr="00726163">
              <w:rPr>
                <w:rFonts w:ascii="Times New Roman" w:eastAsia="仿宋_GB2312" w:hAnsi="Times New Roman"/>
                <w:sz w:val="32"/>
                <w:szCs w:val="32"/>
              </w:rPr>
              <w:t>、</w:t>
            </w:r>
            <w:r w:rsidRPr="00726163">
              <w:rPr>
                <w:rFonts w:ascii="Times New Roman" w:eastAsia="仿宋_GB2312" w:hAnsi="Times New Roman"/>
                <w:sz w:val="32"/>
                <w:szCs w:val="32"/>
              </w:rPr>
              <w:t>4</w:t>
            </w:r>
            <w:r w:rsidRPr="00726163">
              <w:rPr>
                <w:rFonts w:ascii="Times New Roman" w:eastAsia="仿宋_GB2312" w:hAnsi="Times New Roman"/>
                <w:sz w:val="32"/>
                <w:szCs w:val="32"/>
              </w:rPr>
              <w:t>、</w:t>
            </w:r>
            <w:r w:rsidRPr="00726163">
              <w:rPr>
                <w:rFonts w:ascii="Times New Roman" w:eastAsia="仿宋_GB2312" w:hAnsi="Times New Roman"/>
                <w:sz w:val="32"/>
                <w:szCs w:val="32"/>
              </w:rPr>
              <w:t>5</w:t>
            </w:r>
            <w:r w:rsidRPr="00726163">
              <w:rPr>
                <w:rFonts w:ascii="Times New Roman" w:eastAsia="仿宋_GB2312" w:hAnsi="Times New Roman"/>
                <w:sz w:val="32"/>
                <w:szCs w:val="32"/>
              </w:rPr>
              <w:t>、</w:t>
            </w:r>
            <w:r w:rsidRPr="00726163">
              <w:rPr>
                <w:rFonts w:ascii="Times New Roman" w:eastAsia="仿宋_GB2312" w:hAnsi="Times New Roman"/>
                <w:sz w:val="32"/>
                <w:szCs w:val="32"/>
              </w:rPr>
              <w:t>6</w:t>
            </w:r>
            <w:r w:rsidRPr="00726163">
              <w:rPr>
                <w:rFonts w:ascii="Times New Roman" w:eastAsia="仿宋_GB2312" w:hAnsi="Times New Roman"/>
                <w:sz w:val="32"/>
                <w:szCs w:val="32"/>
              </w:rPr>
              <w:t>、</w:t>
            </w:r>
            <w:r w:rsidRPr="00726163">
              <w:rPr>
                <w:rFonts w:ascii="Times New Roman" w:eastAsia="仿宋_GB2312" w:hAnsi="Times New Roman"/>
                <w:sz w:val="32"/>
                <w:szCs w:val="32"/>
              </w:rPr>
              <w:t>7</w:t>
            </w:r>
            <w:r w:rsidRPr="00726163">
              <w:rPr>
                <w:rFonts w:ascii="Times New Roman" w:eastAsia="仿宋_GB2312" w:hAnsi="Times New Roman"/>
                <w:sz w:val="32"/>
                <w:szCs w:val="32"/>
              </w:rPr>
              <w:t>、</w:t>
            </w:r>
            <w:r w:rsidRPr="00726163">
              <w:rPr>
                <w:rFonts w:ascii="Times New Roman" w:eastAsia="仿宋_GB2312" w:hAnsi="Times New Roman"/>
                <w:sz w:val="32"/>
                <w:szCs w:val="32"/>
              </w:rPr>
              <w:t>8</w:t>
            </w:r>
            <w:r w:rsidRPr="00726163">
              <w:rPr>
                <w:rFonts w:ascii="Times New Roman" w:eastAsia="仿宋_GB2312" w:hAnsi="Times New Roman"/>
                <w:sz w:val="32"/>
                <w:szCs w:val="32"/>
              </w:rPr>
              <w:t>、</w:t>
            </w:r>
            <w:r w:rsidRPr="00726163">
              <w:rPr>
                <w:rFonts w:ascii="Times New Roman" w:eastAsia="仿宋_GB2312" w:hAnsi="Times New Roman"/>
                <w:sz w:val="32"/>
                <w:szCs w:val="32"/>
              </w:rPr>
              <w:t>9</w:t>
            </w:r>
            <w:r w:rsidRPr="00726163">
              <w:rPr>
                <w:rFonts w:ascii="Times New Roman" w:eastAsia="仿宋_GB2312" w:hAnsi="Times New Roman"/>
                <w:sz w:val="32"/>
                <w:szCs w:val="32"/>
              </w:rPr>
              <w:t>、</w:t>
            </w:r>
            <w:r w:rsidRPr="00726163">
              <w:rPr>
                <w:rFonts w:ascii="Times New Roman" w:eastAsia="仿宋_GB2312" w:hAnsi="Times New Roman"/>
                <w:sz w:val="32"/>
                <w:szCs w:val="32"/>
              </w:rPr>
              <w:t>10</w:t>
            </w:r>
            <w:r w:rsidRPr="00726163">
              <w:rPr>
                <w:rFonts w:ascii="Times New Roman" w:eastAsia="仿宋_GB2312" w:hAnsi="Times New Roman"/>
                <w:sz w:val="32"/>
                <w:szCs w:val="32"/>
              </w:rPr>
              <w:t>、</w:t>
            </w:r>
            <w:r w:rsidRPr="00726163">
              <w:rPr>
                <w:rFonts w:ascii="Times New Roman" w:eastAsia="仿宋_GB2312" w:hAnsi="Times New Roman"/>
                <w:sz w:val="32"/>
                <w:szCs w:val="32"/>
              </w:rPr>
              <w:t>11</w:t>
            </w:r>
            <w:r w:rsidRPr="00726163">
              <w:rPr>
                <w:rFonts w:ascii="Times New Roman" w:eastAsia="仿宋_GB2312" w:hAnsi="Times New Roman"/>
                <w:sz w:val="32"/>
                <w:szCs w:val="32"/>
              </w:rPr>
              <w:t>、</w:t>
            </w:r>
            <w:r w:rsidRPr="00726163">
              <w:rPr>
                <w:rFonts w:ascii="Times New Roman" w:eastAsia="仿宋_GB2312" w:hAnsi="Times New Roman"/>
                <w:sz w:val="32"/>
                <w:szCs w:val="32"/>
              </w:rPr>
              <w:t>12</w:t>
            </w:r>
            <w:r w:rsidRPr="00726163">
              <w:rPr>
                <w:rFonts w:ascii="Times New Roman" w:eastAsia="仿宋_GB2312" w:hAnsi="Times New Roman"/>
                <w:sz w:val="32"/>
                <w:szCs w:val="32"/>
              </w:rPr>
              <w:t>月</w:t>
            </w:r>
          </w:p>
        </w:tc>
      </w:tr>
      <w:tr w:rsidR="00726163" w:rsidRPr="00726163" w14:paraId="25A545AF" w14:textId="77777777" w:rsidTr="00292285">
        <w:trPr>
          <w:trHeight w:val="1545"/>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267E4A1D"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交易时间</w:t>
            </w:r>
          </w:p>
        </w:tc>
        <w:tc>
          <w:tcPr>
            <w:tcW w:w="3638" w:type="pct"/>
            <w:tcBorders>
              <w:top w:val="single" w:sz="4" w:space="0" w:color="auto"/>
              <w:left w:val="single" w:sz="4" w:space="0" w:color="auto"/>
              <w:bottom w:val="single" w:sz="4" w:space="0" w:color="auto"/>
              <w:right w:val="single" w:sz="4" w:space="0" w:color="auto"/>
            </w:tcBorders>
            <w:vAlign w:val="center"/>
            <w:hideMark/>
          </w:tcPr>
          <w:p w14:paraId="55EDFA39"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每周一至周五上午</w:t>
            </w:r>
            <w:r w:rsidRPr="00726163">
              <w:rPr>
                <w:rFonts w:ascii="Times New Roman" w:eastAsia="仿宋_GB2312" w:hAnsi="Times New Roman"/>
                <w:sz w:val="32"/>
                <w:szCs w:val="32"/>
              </w:rPr>
              <w:t>9:00</w:t>
            </w:r>
            <w:r w:rsidRPr="00726163">
              <w:rPr>
                <w:rFonts w:ascii="Times New Roman" w:eastAsia="仿宋_GB2312" w:hAnsi="Times New Roman"/>
                <w:sz w:val="32"/>
                <w:szCs w:val="32"/>
              </w:rPr>
              <w:t>～</w:t>
            </w:r>
            <w:r w:rsidRPr="00726163">
              <w:rPr>
                <w:rFonts w:ascii="Times New Roman" w:eastAsia="仿宋_GB2312" w:hAnsi="Times New Roman"/>
                <w:sz w:val="32"/>
                <w:szCs w:val="32"/>
              </w:rPr>
              <w:t>11:30</w:t>
            </w:r>
            <w:r w:rsidRPr="00726163">
              <w:rPr>
                <w:rFonts w:ascii="Times New Roman" w:eastAsia="仿宋_GB2312" w:hAnsi="Times New Roman"/>
                <w:sz w:val="32"/>
                <w:szCs w:val="32"/>
              </w:rPr>
              <w:t>，下午</w:t>
            </w:r>
            <w:r w:rsidRPr="00726163">
              <w:rPr>
                <w:rFonts w:ascii="Times New Roman" w:eastAsia="仿宋_GB2312" w:hAnsi="Times New Roman"/>
                <w:sz w:val="32"/>
                <w:szCs w:val="32"/>
              </w:rPr>
              <w:t>13:30</w:t>
            </w:r>
            <w:r w:rsidRPr="00726163">
              <w:rPr>
                <w:rFonts w:ascii="Times New Roman" w:eastAsia="仿宋_GB2312" w:hAnsi="Times New Roman"/>
                <w:sz w:val="32"/>
                <w:szCs w:val="32"/>
              </w:rPr>
              <w:t>～</w:t>
            </w:r>
            <w:r w:rsidRPr="00726163">
              <w:rPr>
                <w:rFonts w:ascii="Times New Roman" w:eastAsia="仿宋_GB2312" w:hAnsi="Times New Roman"/>
                <w:sz w:val="32"/>
                <w:szCs w:val="32"/>
              </w:rPr>
              <w:t>15:00</w:t>
            </w:r>
            <w:r w:rsidRPr="00726163">
              <w:rPr>
                <w:rFonts w:ascii="Times New Roman" w:eastAsia="仿宋_GB2312" w:hAnsi="Times New Roman"/>
                <w:sz w:val="32"/>
                <w:szCs w:val="32"/>
              </w:rPr>
              <w:t>，以及交易所规定的其他时间</w:t>
            </w:r>
          </w:p>
        </w:tc>
      </w:tr>
      <w:tr w:rsidR="00726163" w:rsidRPr="00726163" w14:paraId="449FF54B"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506F1068"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最后交易日</w:t>
            </w:r>
          </w:p>
        </w:tc>
        <w:tc>
          <w:tcPr>
            <w:tcW w:w="3638" w:type="pct"/>
            <w:tcBorders>
              <w:top w:val="single" w:sz="4" w:space="0" w:color="auto"/>
              <w:left w:val="single" w:sz="4" w:space="0" w:color="auto"/>
              <w:bottom w:val="single" w:sz="4" w:space="0" w:color="auto"/>
              <w:right w:val="single" w:sz="4" w:space="0" w:color="auto"/>
            </w:tcBorders>
            <w:vAlign w:val="center"/>
            <w:hideMark/>
          </w:tcPr>
          <w:p w14:paraId="4FD54AB6"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合约月份倒数第</w:t>
            </w:r>
            <w:r w:rsidRPr="00726163">
              <w:rPr>
                <w:rFonts w:ascii="Times New Roman" w:eastAsia="仿宋_GB2312" w:hAnsi="Times New Roman"/>
                <w:sz w:val="32"/>
                <w:szCs w:val="32"/>
              </w:rPr>
              <w:t>4</w:t>
            </w:r>
            <w:r w:rsidRPr="00726163">
              <w:rPr>
                <w:rFonts w:ascii="Times New Roman" w:eastAsia="仿宋_GB2312" w:hAnsi="Times New Roman"/>
                <w:sz w:val="32"/>
                <w:szCs w:val="32"/>
              </w:rPr>
              <w:t>个交易日</w:t>
            </w:r>
          </w:p>
        </w:tc>
      </w:tr>
      <w:tr w:rsidR="00726163" w:rsidRPr="00726163" w14:paraId="1A62BB1F"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47921B88"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最后交割日</w:t>
            </w:r>
          </w:p>
        </w:tc>
        <w:tc>
          <w:tcPr>
            <w:tcW w:w="3638" w:type="pct"/>
            <w:tcBorders>
              <w:top w:val="single" w:sz="4" w:space="0" w:color="auto"/>
              <w:left w:val="single" w:sz="4" w:space="0" w:color="auto"/>
              <w:bottom w:val="single" w:sz="4" w:space="0" w:color="auto"/>
              <w:right w:val="single" w:sz="4" w:space="0" w:color="auto"/>
            </w:tcBorders>
            <w:vAlign w:val="center"/>
            <w:hideMark/>
          </w:tcPr>
          <w:p w14:paraId="4B370FB7"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最后交易日后第</w:t>
            </w:r>
            <w:r w:rsidRPr="00726163">
              <w:rPr>
                <w:rFonts w:ascii="Times New Roman" w:eastAsia="仿宋_GB2312" w:hAnsi="Times New Roman"/>
                <w:sz w:val="32"/>
                <w:szCs w:val="32"/>
              </w:rPr>
              <w:t>3</w:t>
            </w:r>
            <w:r w:rsidRPr="00726163">
              <w:rPr>
                <w:rFonts w:ascii="Times New Roman" w:eastAsia="仿宋_GB2312" w:hAnsi="Times New Roman"/>
                <w:sz w:val="32"/>
                <w:szCs w:val="32"/>
              </w:rPr>
              <w:t>个交易日</w:t>
            </w:r>
          </w:p>
        </w:tc>
      </w:tr>
      <w:tr w:rsidR="00726163" w:rsidRPr="00726163" w14:paraId="60A06F11"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58B14D5B"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交割等级</w:t>
            </w:r>
          </w:p>
        </w:tc>
        <w:tc>
          <w:tcPr>
            <w:tcW w:w="3638" w:type="pct"/>
            <w:tcBorders>
              <w:top w:val="single" w:sz="4" w:space="0" w:color="auto"/>
              <w:left w:val="single" w:sz="4" w:space="0" w:color="auto"/>
              <w:bottom w:val="single" w:sz="4" w:space="0" w:color="auto"/>
              <w:right w:val="single" w:sz="4" w:space="0" w:color="auto"/>
            </w:tcBorders>
            <w:vAlign w:val="center"/>
            <w:hideMark/>
          </w:tcPr>
          <w:p w14:paraId="24F185A2"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大连商品交易所液化石油气交割质量标准（</w:t>
            </w:r>
            <w:r w:rsidRPr="00726163">
              <w:rPr>
                <w:rFonts w:ascii="Times New Roman" w:eastAsia="仿宋_GB2312" w:hAnsi="Times New Roman"/>
                <w:sz w:val="32"/>
                <w:szCs w:val="32"/>
              </w:rPr>
              <w:t>F/DCE PG001-2020</w:t>
            </w:r>
            <w:r w:rsidRPr="00726163">
              <w:rPr>
                <w:rFonts w:ascii="Times New Roman" w:eastAsia="仿宋_GB2312" w:hAnsi="Times New Roman"/>
                <w:sz w:val="32"/>
                <w:szCs w:val="32"/>
              </w:rPr>
              <w:t>）</w:t>
            </w:r>
          </w:p>
        </w:tc>
      </w:tr>
      <w:tr w:rsidR="00726163" w:rsidRPr="00726163" w14:paraId="1F95C4F6"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05D1C981"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交割地点</w:t>
            </w:r>
          </w:p>
        </w:tc>
        <w:tc>
          <w:tcPr>
            <w:tcW w:w="3638" w:type="pct"/>
            <w:tcBorders>
              <w:top w:val="single" w:sz="4" w:space="0" w:color="auto"/>
              <w:left w:val="single" w:sz="4" w:space="0" w:color="auto"/>
              <w:bottom w:val="single" w:sz="4" w:space="0" w:color="auto"/>
              <w:right w:val="single" w:sz="4" w:space="0" w:color="auto"/>
            </w:tcBorders>
            <w:vAlign w:val="center"/>
            <w:hideMark/>
          </w:tcPr>
          <w:p w14:paraId="5C2C03AC"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大连商品交易所液化石油气指定交割仓库</w:t>
            </w:r>
          </w:p>
        </w:tc>
      </w:tr>
      <w:tr w:rsidR="00726163" w:rsidRPr="00726163" w14:paraId="40FCAD20"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4FB1E549"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lastRenderedPageBreak/>
              <w:t>最低交易保证金</w:t>
            </w:r>
          </w:p>
        </w:tc>
        <w:tc>
          <w:tcPr>
            <w:tcW w:w="3638" w:type="pct"/>
            <w:tcBorders>
              <w:top w:val="single" w:sz="4" w:space="0" w:color="auto"/>
              <w:left w:val="single" w:sz="4" w:space="0" w:color="auto"/>
              <w:bottom w:val="single" w:sz="4" w:space="0" w:color="auto"/>
              <w:right w:val="single" w:sz="4" w:space="0" w:color="auto"/>
            </w:tcBorders>
            <w:vAlign w:val="center"/>
            <w:hideMark/>
          </w:tcPr>
          <w:p w14:paraId="76B60C24"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合约价值的</w:t>
            </w:r>
            <w:r w:rsidRPr="00726163">
              <w:rPr>
                <w:rFonts w:ascii="Times New Roman" w:eastAsia="仿宋_GB2312" w:hAnsi="Times New Roman"/>
                <w:sz w:val="32"/>
                <w:szCs w:val="32"/>
              </w:rPr>
              <w:t>5</w:t>
            </w:r>
            <w:r w:rsidRPr="00726163">
              <w:rPr>
                <w:rFonts w:ascii="Times New Roman" w:eastAsia="仿宋_GB2312" w:hAnsi="Times New Roman"/>
                <w:sz w:val="32"/>
                <w:szCs w:val="32"/>
              </w:rPr>
              <w:t>％</w:t>
            </w:r>
          </w:p>
        </w:tc>
      </w:tr>
      <w:tr w:rsidR="00726163" w:rsidRPr="00726163" w14:paraId="25D1CF3F"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388A7BC4"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交割方式</w:t>
            </w:r>
          </w:p>
        </w:tc>
        <w:tc>
          <w:tcPr>
            <w:tcW w:w="3638" w:type="pct"/>
            <w:tcBorders>
              <w:top w:val="single" w:sz="4" w:space="0" w:color="auto"/>
              <w:left w:val="single" w:sz="4" w:space="0" w:color="auto"/>
              <w:bottom w:val="single" w:sz="4" w:space="0" w:color="auto"/>
              <w:right w:val="single" w:sz="4" w:space="0" w:color="auto"/>
            </w:tcBorders>
            <w:vAlign w:val="center"/>
            <w:hideMark/>
          </w:tcPr>
          <w:p w14:paraId="33BAF18F"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实物交割</w:t>
            </w:r>
          </w:p>
        </w:tc>
      </w:tr>
      <w:tr w:rsidR="00726163" w:rsidRPr="00726163" w14:paraId="67F3049D"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7D08649F"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交易代码</w:t>
            </w:r>
          </w:p>
        </w:tc>
        <w:tc>
          <w:tcPr>
            <w:tcW w:w="3638" w:type="pct"/>
            <w:tcBorders>
              <w:top w:val="single" w:sz="4" w:space="0" w:color="auto"/>
              <w:left w:val="single" w:sz="4" w:space="0" w:color="auto"/>
              <w:bottom w:val="single" w:sz="4" w:space="0" w:color="auto"/>
              <w:right w:val="single" w:sz="4" w:space="0" w:color="auto"/>
            </w:tcBorders>
            <w:vAlign w:val="center"/>
            <w:hideMark/>
          </w:tcPr>
          <w:p w14:paraId="46092591"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PG</w:t>
            </w:r>
          </w:p>
        </w:tc>
      </w:tr>
      <w:tr w:rsidR="00726163" w:rsidRPr="00726163" w14:paraId="4E73B4D2" w14:textId="77777777" w:rsidTr="00292285">
        <w:trPr>
          <w:trHeight w:val="20"/>
          <w:jc w:val="center"/>
        </w:trPr>
        <w:tc>
          <w:tcPr>
            <w:tcW w:w="1362" w:type="pct"/>
            <w:tcBorders>
              <w:top w:val="single" w:sz="4" w:space="0" w:color="auto"/>
              <w:left w:val="single" w:sz="4" w:space="0" w:color="auto"/>
              <w:bottom w:val="single" w:sz="4" w:space="0" w:color="auto"/>
              <w:right w:val="single" w:sz="4" w:space="0" w:color="auto"/>
            </w:tcBorders>
            <w:vAlign w:val="center"/>
            <w:hideMark/>
          </w:tcPr>
          <w:p w14:paraId="7104EC2D"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上市交易所</w:t>
            </w:r>
          </w:p>
        </w:tc>
        <w:tc>
          <w:tcPr>
            <w:tcW w:w="3638" w:type="pct"/>
            <w:tcBorders>
              <w:top w:val="single" w:sz="4" w:space="0" w:color="auto"/>
              <w:left w:val="single" w:sz="4" w:space="0" w:color="auto"/>
              <w:bottom w:val="single" w:sz="4" w:space="0" w:color="auto"/>
              <w:right w:val="single" w:sz="4" w:space="0" w:color="auto"/>
            </w:tcBorders>
            <w:vAlign w:val="center"/>
            <w:hideMark/>
          </w:tcPr>
          <w:p w14:paraId="64E55ED3" w14:textId="77777777" w:rsidR="00726163" w:rsidRPr="00726163" w:rsidRDefault="00726163" w:rsidP="003E3461">
            <w:pPr>
              <w:spacing w:line="20" w:lineRule="atLeast"/>
              <w:jc w:val="center"/>
              <w:rPr>
                <w:rFonts w:ascii="Times New Roman" w:eastAsia="仿宋_GB2312" w:hAnsi="Times New Roman"/>
                <w:sz w:val="32"/>
                <w:szCs w:val="32"/>
              </w:rPr>
            </w:pPr>
            <w:r w:rsidRPr="00726163">
              <w:rPr>
                <w:rFonts w:ascii="Times New Roman" w:eastAsia="仿宋_GB2312" w:hAnsi="Times New Roman"/>
                <w:sz w:val="32"/>
                <w:szCs w:val="32"/>
              </w:rPr>
              <w:t>大连商品交易所</w:t>
            </w:r>
          </w:p>
        </w:tc>
      </w:tr>
    </w:tbl>
    <w:p w14:paraId="47ECB2E8" w14:textId="77777777" w:rsidR="00726163" w:rsidRPr="00726163" w:rsidRDefault="00726163" w:rsidP="003E3461">
      <w:pPr>
        <w:ind w:firstLineChars="200" w:firstLine="640"/>
        <w:rPr>
          <w:rFonts w:ascii="Times New Roman" w:eastAsia="仿宋_GB2312" w:hAnsi="Times New Roman"/>
          <w:sz w:val="32"/>
          <w:szCs w:val="32"/>
        </w:rPr>
      </w:pPr>
    </w:p>
    <w:p w14:paraId="5E984738" w14:textId="77777777" w:rsidR="00726163" w:rsidRPr="00726163" w:rsidRDefault="00726163" w:rsidP="003E3461">
      <w:pPr>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相关实施细则修正案、修订稿详见附件。</w:t>
      </w:r>
    </w:p>
    <w:p w14:paraId="12F1207D" w14:textId="77777777" w:rsidR="00726163" w:rsidRPr="00726163" w:rsidRDefault="00726163" w:rsidP="003E3461">
      <w:pPr>
        <w:ind w:firstLineChars="200" w:firstLine="640"/>
        <w:rPr>
          <w:rFonts w:ascii="Times New Roman" w:eastAsia="仿宋_GB2312" w:hAnsi="Times New Roman"/>
          <w:sz w:val="32"/>
          <w:szCs w:val="32"/>
        </w:rPr>
      </w:pPr>
    </w:p>
    <w:p w14:paraId="47781987" w14:textId="77777777" w:rsidR="00726163" w:rsidRPr="00726163" w:rsidRDefault="00726163" w:rsidP="003E3461">
      <w:pPr>
        <w:ind w:leftChars="304" w:left="2123" w:hangingChars="464" w:hanging="1485"/>
        <w:rPr>
          <w:rFonts w:ascii="Times New Roman" w:eastAsia="仿宋_GB2312" w:hAnsi="Times New Roman"/>
          <w:sz w:val="32"/>
          <w:szCs w:val="32"/>
        </w:rPr>
      </w:pPr>
      <w:r w:rsidRPr="00726163">
        <w:rPr>
          <w:rFonts w:ascii="Times New Roman" w:eastAsia="仿宋_GB2312" w:hAnsi="Times New Roman"/>
          <w:sz w:val="32"/>
          <w:szCs w:val="32"/>
        </w:rPr>
        <w:t>附件：</w:t>
      </w:r>
      <w:r w:rsidRPr="00726163">
        <w:rPr>
          <w:rFonts w:ascii="Times New Roman" w:eastAsia="仿宋_GB2312" w:hAnsi="Times New Roman"/>
          <w:sz w:val="32"/>
          <w:szCs w:val="32"/>
        </w:rPr>
        <w:t>1.</w:t>
      </w:r>
      <w:r w:rsidRPr="00726163">
        <w:rPr>
          <w:rFonts w:ascii="Times New Roman" w:eastAsia="仿宋_GB2312" w:hAnsi="Times New Roman"/>
          <w:sz w:val="32"/>
          <w:szCs w:val="32"/>
        </w:rPr>
        <w:t>《大连商品交易所结算管理办法》修正案及修订稿</w:t>
      </w:r>
    </w:p>
    <w:p w14:paraId="657819C5" w14:textId="77777777" w:rsidR="00726163" w:rsidRPr="00726163" w:rsidRDefault="00726163" w:rsidP="003E3461">
      <w:pPr>
        <w:ind w:leftChars="709" w:left="2126" w:hangingChars="199" w:hanging="637"/>
        <w:rPr>
          <w:rFonts w:ascii="Times New Roman" w:eastAsia="仿宋_GB2312" w:hAnsi="Times New Roman"/>
          <w:sz w:val="32"/>
          <w:szCs w:val="32"/>
        </w:rPr>
      </w:pPr>
      <w:r>
        <w:rPr>
          <w:rFonts w:ascii="Times New Roman" w:eastAsia="仿宋_GB2312" w:hAnsi="Times New Roman"/>
          <w:sz w:val="32"/>
          <w:szCs w:val="32"/>
        </w:rPr>
        <w:t>2.</w:t>
      </w:r>
      <w:r w:rsidRPr="00726163">
        <w:rPr>
          <w:rFonts w:ascii="Times New Roman" w:eastAsia="仿宋_GB2312" w:hAnsi="Times New Roman"/>
          <w:sz w:val="32"/>
          <w:szCs w:val="32"/>
        </w:rPr>
        <w:t>《大连商品交易所交割管理办法》修正案及修订稿</w:t>
      </w:r>
    </w:p>
    <w:p w14:paraId="4B819094" w14:textId="77777777" w:rsidR="00726163" w:rsidRPr="00726163" w:rsidRDefault="00726163" w:rsidP="003E3461">
      <w:pPr>
        <w:ind w:leftChars="708" w:left="1839" w:hangingChars="110" w:hanging="352"/>
        <w:rPr>
          <w:rFonts w:ascii="Times New Roman" w:eastAsia="仿宋_GB2312" w:hAnsi="Times New Roman"/>
          <w:sz w:val="32"/>
          <w:szCs w:val="32"/>
        </w:rPr>
      </w:pPr>
      <w:r>
        <w:rPr>
          <w:rFonts w:ascii="Times New Roman" w:eastAsia="仿宋_GB2312" w:hAnsi="Times New Roman"/>
          <w:sz w:val="32"/>
          <w:szCs w:val="32"/>
        </w:rPr>
        <w:t>3.</w:t>
      </w:r>
      <w:r w:rsidRPr="00726163">
        <w:rPr>
          <w:rFonts w:ascii="Times New Roman" w:eastAsia="仿宋_GB2312" w:hAnsi="Times New Roman"/>
          <w:sz w:val="32"/>
          <w:szCs w:val="32"/>
        </w:rPr>
        <w:t>《大连商品交易所标准仓单管理办法》修正案及修订稿</w:t>
      </w:r>
    </w:p>
    <w:p w14:paraId="44945AD4" w14:textId="77777777" w:rsidR="00726163" w:rsidRDefault="00726163" w:rsidP="003E3461">
      <w:pPr>
        <w:ind w:leftChars="709" w:left="2126" w:hangingChars="199" w:hanging="637"/>
        <w:rPr>
          <w:rFonts w:ascii="Times New Roman" w:eastAsia="仿宋_GB2312" w:hAnsi="Times New Roman"/>
          <w:sz w:val="32"/>
          <w:szCs w:val="32"/>
        </w:rPr>
      </w:pPr>
      <w:r>
        <w:rPr>
          <w:rFonts w:ascii="Times New Roman" w:eastAsia="仿宋_GB2312" w:hAnsi="Times New Roman"/>
          <w:sz w:val="32"/>
          <w:szCs w:val="32"/>
        </w:rPr>
        <w:t>4.</w:t>
      </w:r>
      <w:r w:rsidRPr="00726163">
        <w:rPr>
          <w:rFonts w:ascii="Times New Roman" w:eastAsia="仿宋_GB2312" w:hAnsi="Times New Roman"/>
          <w:sz w:val="32"/>
          <w:szCs w:val="32"/>
        </w:rPr>
        <w:t>《大连商品交易所风险管理办法》修正案及修订稿</w:t>
      </w:r>
    </w:p>
    <w:p w14:paraId="0A6D416C" w14:textId="77777777" w:rsidR="00726163" w:rsidRDefault="00726163" w:rsidP="003E3461">
      <w:pPr>
        <w:ind w:leftChars="709" w:left="2126" w:hangingChars="199" w:hanging="637"/>
        <w:rPr>
          <w:rFonts w:ascii="Times New Roman" w:eastAsia="仿宋_GB2312" w:hAnsi="Times New Roman"/>
          <w:sz w:val="32"/>
          <w:szCs w:val="32"/>
        </w:rPr>
      </w:pPr>
      <w:r>
        <w:rPr>
          <w:rFonts w:ascii="Times New Roman" w:eastAsia="仿宋_GB2312" w:hAnsi="Times New Roman"/>
          <w:sz w:val="32"/>
          <w:szCs w:val="32"/>
        </w:rPr>
        <w:t>5.</w:t>
      </w:r>
      <w:r w:rsidRPr="00726163">
        <w:rPr>
          <w:rFonts w:ascii="Times New Roman" w:eastAsia="仿宋_GB2312" w:hAnsi="Times New Roman"/>
          <w:sz w:val="32"/>
          <w:szCs w:val="32"/>
        </w:rPr>
        <w:t>《大连商品交易所套期保值管理办法》修正案及修</w:t>
      </w:r>
    </w:p>
    <w:p w14:paraId="1C738DE0" w14:textId="77777777" w:rsidR="00726163" w:rsidRPr="00726163" w:rsidRDefault="00726163" w:rsidP="003E3461">
      <w:pPr>
        <w:ind w:leftChars="877" w:left="2015" w:hangingChars="54" w:hanging="173"/>
        <w:rPr>
          <w:rFonts w:ascii="Times New Roman" w:eastAsia="仿宋_GB2312" w:hAnsi="Times New Roman"/>
          <w:sz w:val="32"/>
          <w:szCs w:val="32"/>
        </w:rPr>
      </w:pPr>
      <w:r w:rsidRPr="00726163">
        <w:rPr>
          <w:rFonts w:ascii="Times New Roman" w:eastAsia="仿宋_GB2312" w:hAnsi="Times New Roman"/>
          <w:sz w:val="32"/>
          <w:szCs w:val="32"/>
        </w:rPr>
        <w:t>订稿</w:t>
      </w:r>
    </w:p>
    <w:p w14:paraId="18168259" w14:textId="77777777" w:rsidR="00726163" w:rsidRPr="00726163" w:rsidRDefault="00726163" w:rsidP="003E3461">
      <w:pPr>
        <w:ind w:leftChars="405" w:left="850" w:firstLineChars="177" w:firstLine="566"/>
        <w:rPr>
          <w:rFonts w:ascii="Times New Roman" w:eastAsia="仿宋_GB2312" w:hAnsi="Times New Roman"/>
          <w:sz w:val="32"/>
          <w:szCs w:val="32"/>
        </w:rPr>
      </w:pPr>
      <w:r>
        <w:rPr>
          <w:rFonts w:ascii="Times New Roman" w:eastAsia="仿宋_GB2312" w:hAnsi="Times New Roman"/>
          <w:sz w:val="32"/>
          <w:szCs w:val="32"/>
        </w:rPr>
        <w:t xml:space="preserve">6. </w:t>
      </w:r>
      <w:r w:rsidRPr="00726163">
        <w:rPr>
          <w:rFonts w:ascii="Times New Roman" w:eastAsia="仿宋_GB2312" w:hAnsi="Times New Roman"/>
          <w:sz w:val="32"/>
          <w:szCs w:val="32"/>
        </w:rPr>
        <w:t>大连商品交易所液化石油气期货业务细则</w:t>
      </w:r>
    </w:p>
    <w:p w14:paraId="32935E1C" w14:textId="77777777" w:rsidR="00726163" w:rsidRPr="00726163" w:rsidRDefault="00726163" w:rsidP="003E3461">
      <w:pPr>
        <w:ind w:firstLineChars="200" w:firstLine="640"/>
        <w:rPr>
          <w:rFonts w:ascii="Times New Roman" w:eastAsia="仿宋_GB2312" w:hAnsi="Times New Roman"/>
          <w:sz w:val="32"/>
          <w:szCs w:val="32"/>
        </w:rPr>
      </w:pPr>
    </w:p>
    <w:p w14:paraId="5A8E207A" w14:textId="77777777" w:rsidR="00726163" w:rsidRPr="00726163" w:rsidRDefault="00726163" w:rsidP="003E3461">
      <w:pPr>
        <w:rPr>
          <w:rFonts w:ascii="Times New Roman" w:hAnsi="Times New Roman"/>
        </w:rPr>
      </w:pPr>
    </w:p>
    <w:p w14:paraId="1980CD07" w14:textId="77777777" w:rsidR="00726163" w:rsidRPr="00726163" w:rsidRDefault="00726163" w:rsidP="003E3461">
      <w:pPr>
        <w:rPr>
          <w:rFonts w:ascii="Times New Roman" w:hAnsi="Times New Roman"/>
        </w:rPr>
        <w:sectPr w:rsidR="00726163" w:rsidRPr="00726163" w:rsidSect="00726163">
          <w:footerReference w:type="default" r:id="rId7"/>
          <w:pgSz w:w="11906" w:h="16838"/>
          <w:pgMar w:top="2098" w:right="1588" w:bottom="1718" w:left="1588" w:header="851" w:footer="992" w:gutter="0"/>
          <w:cols w:space="425"/>
          <w:docGrid w:type="lines" w:linePitch="312"/>
        </w:sectPr>
      </w:pPr>
    </w:p>
    <w:p w14:paraId="7D463DD0" w14:textId="77777777" w:rsidR="00726163" w:rsidRPr="00726163" w:rsidRDefault="00726163" w:rsidP="003E3461">
      <w:pPr>
        <w:spacing w:line="580" w:lineRule="exact"/>
        <w:jc w:val="left"/>
        <w:rPr>
          <w:rFonts w:ascii="Times New Roman" w:eastAsia="仿宋_GB2312" w:hAnsi="Times New Roman"/>
          <w:sz w:val="32"/>
          <w:szCs w:val="32"/>
        </w:rPr>
      </w:pPr>
      <w:r w:rsidRPr="00726163">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w:t>
      </w:r>
    </w:p>
    <w:p w14:paraId="0ABE3E37" w14:textId="77777777" w:rsidR="00726163" w:rsidRPr="00726163" w:rsidRDefault="00726163" w:rsidP="003E3461">
      <w:pPr>
        <w:spacing w:line="580" w:lineRule="exact"/>
        <w:jc w:val="left"/>
        <w:rPr>
          <w:rFonts w:ascii="Times New Roman" w:eastAsia="仿宋_GB2312" w:hAnsi="Times New Roman"/>
          <w:sz w:val="32"/>
          <w:szCs w:val="32"/>
        </w:rPr>
      </w:pPr>
    </w:p>
    <w:p w14:paraId="3F657BF4"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《大连商品交易所结算管理办法》</w:t>
      </w:r>
    </w:p>
    <w:p w14:paraId="33510D6B"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修正案</w:t>
      </w:r>
    </w:p>
    <w:p w14:paraId="477C8A2D"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0FCDC50E"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第六十条</w:t>
      </w:r>
      <w:r w:rsidRPr="00726163">
        <w:rPr>
          <w:rFonts w:ascii="Times New Roman" w:eastAsia="仿宋_GB2312" w:hAnsi="Times New Roman"/>
          <w:color w:val="000000"/>
          <w:sz w:val="32"/>
          <w:szCs w:val="32"/>
        </w:rPr>
        <w:t xml:space="preserve"> </w:t>
      </w:r>
      <w:r w:rsidRPr="00726163">
        <w:rPr>
          <w:rFonts w:ascii="Times New Roman" w:eastAsia="仿宋_GB2312" w:hAnsi="Times New Roman"/>
          <w:color w:val="000000"/>
          <w:sz w:val="32"/>
          <w:szCs w:val="32"/>
        </w:rPr>
        <w:t>交割结算价为该期货合约交割结算的基准价。滚动交割的交割结算价采用该期货合约滚动交割配对日的当日结算价。一次性交割的交割结算价采用该期货合约自交割月第一个交易日起至最后交易日所有成交价格的加权平均价；鸡蛋、乙二醇</w:t>
      </w:r>
      <w:r w:rsidRPr="00726163">
        <w:rPr>
          <w:rFonts w:ascii="Times New Roman" w:eastAsia="仿宋_GB2312" w:hAnsi="Times New Roman"/>
          <w:sz w:val="32"/>
          <w:szCs w:val="32"/>
        </w:rPr>
        <w:t>、苯乙烯</w:t>
      </w:r>
      <w:r w:rsidRPr="00726163">
        <w:rPr>
          <w:rFonts w:ascii="Times New Roman" w:eastAsia="仿宋_GB2312" w:hAnsi="Times New Roman"/>
          <w:sz w:val="32"/>
          <w:szCs w:val="32"/>
          <w:shd w:val="pct15" w:color="auto" w:fill="FFFFFF"/>
        </w:rPr>
        <w:t>、液化石油气</w:t>
      </w:r>
      <w:r w:rsidRPr="00726163">
        <w:rPr>
          <w:rFonts w:ascii="Times New Roman" w:eastAsia="仿宋_GB2312" w:hAnsi="Times New Roman"/>
          <w:color w:val="000000"/>
          <w:sz w:val="32"/>
          <w:szCs w:val="32"/>
        </w:rPr>
        <w:t>等品种期货业务细则对一次性交割的交割结算价另有规定的，适用其规定。期转现结算价采用买卖双方协议价格。提货单交割的交割结算价采用该期货合约提货单交割配对日的当日结算价。全月每日选择交割的交割结算价采用该期货合约全月每日选择交割配对日的当日结算价。</w:t>
      </w:r>
    </w:p>
    <w:p w14:paraId="640D625B" w14:textId="77777777" w:rsidR="00726163" w:rsidRPr="00726163" w:rsidRDefault="00726163" w:rsidP="003E3461">
      <w:pPr>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保税交割的交割结算价见《大连商品交易所交割管理办法》和实行保税交割相关品种期货业务细则的有关规定。</w:t>
      </w:r>
    </w:p>
    <w:p w14:paraId="708326B4" w14:textId="77777777" w:rsidR="00726163" w:rsidRPr="00726163" w:rsidRDefault="00726163" w:rsidP="003E3461">
      <w:pPr>
        <w:ind w:firstLineChars="200" w:firstLine="560"/>
        <w:rPr>
          <w:rFonts w:ascii="Times New Roman" w:eastAsia="仿宋_GB2312" w:hAnsi="Times New Roman"/>
          <w:color w:val="000000"/>
          <w:sz w:val="28"/>
          <w:szCs w:val="28"/>
        </w:rPr>
      </w:pPr>
    </w:p>
    <w:p w14:paraId="7270CBF0" w14:textId="77777777" w:rsidR="00726163" w:rsidRPr="00726163" w:rsidRDefault="00726163" w:rsidP="003E3461">
      <w:pPr>
        <w:ind w:firstLineChars="200" w:firstLine="560"/>
        <w:rPr>
          <w:rFonts w:ascii="Times New Roman" w:eastAsia="宋体" w:hAnsi="Times New Roman"/>
          <w:szCs w:val="24"/>
        </w:rPr>
      </w:pPr>
      <w:r w:rsidRPr="00726163">
        <w:rPr>
          <w:rFonts w:ascii="Times New Roman" w:eastAsia="楷体" w:hAnsi="Times New Roman"/>
          <w:color w:val="000000"/>
          <w:sz w:val="28"/>
          <w:szCs w:val="28"/>
        </w:rPr>
        <w:t>注：阴影部分为新增内容。</w:t>
      </w:r>
    </w:p>
    <w:p w14:paraId="6C4C9C76"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521B58D2" w14:textId="77777777" w:rsidR="00726163" w:rsidRPr="00726163" w:rsidRDefault="00726163" w:rsidP="003E3461">
      <w:pPr>
        <w:rPr>
          <w:rFonts w:ascii="Times New Roman" w:hAnsi="Times New Roman"/>
        </w:rPr>
        <w:sectPr w:rsidR="00726163" w:rsidRPr="00726163">
          <w:pgSz w:w="11906" w:h="16838"/>
          <w:pgMar w:top="1440" w:right="1800" w:bottom="1440" w:left="1800" w:header="851" w:footer="992" w:gutter="0"/>
          <w:cols w:space="425"/>
          <w:docGrid w:type="lines" w:linePitch="312"/>
        </w:sectPr>
      </w:pPr>
    </w:p>
    <w:p w14:paraId="7E2B572A" w14:textId="77777777" w:rsidR="00726163" w:rsidRPr="00726163" w:rsidRDefault="00726163" w:rsidP="003E3461">
      <w:pPr>
        <w:spacing w:line="580" w:lineRule="exact"/>
        <w:jc w:val="left"/>
        <w:rPr>
          <w:rFonts w:ascii="Times New Roman" w:eastAsia="仿宋_GB2312" w:hAnsi="Times New Roman"/>
          <w:sz w:val="32"/>
          <w:szCs w:val="32"/>
        </w:rPr>
      </w:pPr>
    </w:p>
    <w:p w14:paraId="5FBBCF28"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《大连商品交易所结算管理办法》</w:t>
      </w:r>
    </w:p>
    <w:p w14:paraId="430716C2"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修订稿</w:t>
      </w:r>
    </w:p>
    <w:p w14:paraId="0200F988"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7A717CD7" w14:textId="77777777" w:rsidR="00726163" w:rsidRPr="003E3461" w:rsidRDefault="00726163" w:rsidP="003E3461">
      <w:pPr>
        <w:shd w:val="clear" w:color="auto" w:fill="FFFFFF"/>
        <w:jc w:val="center"/>
        <w:rPr>
          <w:rFonts w:ascii="黑体" w:eastAsia="黑体" w:hAnsi="黑体"/>
          <w:color w:val="333333"/>
          <w:kern w:val="0"/>
          <w:sz w:val="32"/>
          <w:szCs w:val="32"/>
        </w:rPr>
      </w:pPr>
      <w:r w:rsidRPr="003E3461">
        <w:rPr>
          <w:rFonts w:ascii="黑体" w:eastAsia="黑体" w:hAnsi="黑体"/>
          <w:color w:val="333333"/>
          <w:kern w:val="0"/>
          <w:sz w:val="32"/>
          <w:szCs w:val="32"/>
        </w:rPr>
        <w:t>第一章 总则</w:t>
      </w:r>
    </w:p>
    <w:p w14:paraId="6ECF4B4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为规范大连商品交易所（以下简称交易所）的期货结算行为，保护交易当事人的合法权益和社会公众利益，防范和化解期货市场风险，根据《大连商品交易所交易规则》，制定本办法。</w:t>
      </w:r>
    </w:p>
    <w:p w14:paraId="2187C76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结算是指根据交易结果和交易所有关规定对会员交易保证金、盈亏、手续费、交割货款及其它有关款项进行计算、划拨的业务活动。</w:t>
      </w:r>
    </w:p>
    <w:p w14:paraId="70FA51F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交易所结算实行保证金制度、当日无负债结算制度和风险准备金制度等。</w:t>
      </w:r>
    </w:p>
    <w:p w14:paraId="4E27B23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交易所实行全员结算制度，交易所只对会员进行结算，期货公司会员对其客户、境外经纪机构进行结算，境外经纪机构对其客户进行结算。</w:t>
      </w:r>
    </w:p>
    <w:p w14:paraId="63EC0200" w14:textId="77777777" w:rsidR="00726163" w:rsidRDefault="00726163" w:rsidP="003E3461">
      <w:pPr>
        <w:shd w:val="clear" w:color="auto" w:fill="FFFFFF"/>
        <w:ind w:firstLine="650"/>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第五条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本办法适用于交易所内的一切结算活动，交易所及其工作人员、交易所会员及其工作人员、境外经纪机构、客户和交易所指定期货保证金存管银行（以下简称存管银行）必须遵守本办法。</w:t>
      </w:r>
    </w:p>
    <w:p w14:paraId="7015B208" w14:textId="77777777" w:rsidR="00726163" w:rsidRPr="00726163" w:rsidRDefault="00726163" w:rsidP="003E3461">
      <w:pPr>
        <w:shd w:val="clear" w:color="auto" w:fill="FFFFFF"/>
        <w:ind w:firstLine="650"/>
        <w:rPr>
          <w:rFonts w:ascii="Times New Roman" w:eastAsia="仿宋_GB2312" w:hAnsi="Times New Roman" w:hint="eastAsia"/>
          <w:color w:val="333333"/>
          <w:kern w:val="0"/>
          <w:sz w:val="32"/>
          <w:szCs w:val="32"/>
        </w:rPr>
      </w:pPr>
    </w:p>
    <w:p w14:paraId="0B5BDCAA" w14:textId="77777777" w:rsidR="00726163" w:rsidRPr="003E3461" w:rsidRDefault="00726163" w:rsidP="003E3461">
      <w:pPr>
        <w:shd w:val="clear" w:color="auto" w:fill="FFFFFF"/>
        <w:jc w:val="center"/>
        <w:rPr>
          <w:rFonts w:ascii="黑体" w:eastAsia="黑体" w:hAnsi="黑体"/>
          <w:color w:val="333333"/>
          <w:kern w:val="0"/>
          <w:sz w:val="32"/>
          <w:szCs w:val="32"/>
        </w:rPr>
      </w:pPr>
      <w:r w:rsidRPr="003E3461">
        <w:rPr>
          <w:rFonts w:ascii="黑体" w:eastAsia="黑体" w:hAnsi="黑体"/>
          <w:color w:val="333333"/>
          <w:kern w:val="0"/>
          <w:sz w:val="32"/>
          <w:szCs w:val="32"/>
        </w:rPr>
        <w:t>第二章 结算机构及其职责</w:t>
      </w:r>
    </w:p>
    <w:p w14:paraId="5E2D0DB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交易所作为中央对手方，统一组织期货交易的结算、负责期货交易的保证金管理、风险准备金管理及结算风险的防范。</w:t>
      </w:r>
    </w:p>
    <w:p w14:paraId="0173386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中央对手方是指期货交易达成后介入期货交易双方，成为所有买方的卖方和所有卖方的买方，以净额方式结算，为期货交易提供集中履约保障的法人。</w:t>
      </w:r>
    </w:p>
    <w:p w14:paraId="3C46F5D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交易所结算业务的主要职责：</w:t>
      </w:r>
    </w:p>
    <w:p w14:paraId="09515A8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（一）编制会员的结算账表；</w:t>
      </w:r>
    </w:p>
    <w:p w14:paraId="110B895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（二）办理资金往来汇划业务；</w:t>
      </w:r>
    </w:p>
    <w:p w14:paraId="029FEE2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（三）统计、登记和报告交易结算情况；</w:t>
      </w:r>
    </w:p>
    <w:p w14:paraId="4C80F09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（四）处理会员交易中的账款纠纷；</w:t>
      </w:r>
    </w:p>
    <w:p w14:paraId="099AAC3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（五）办理交割结算业务；</w:t>
      </w:r>
    </w:p>
    <w:p w14:paraId="0DCCD4C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（六）控制结算风险，为期货交易提供集中履约担保；</w:t>
      </w:r>
    </w:p>
    <w:p w14:paraId="060ABAB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（七）按规定管理保证金、风险准备金；</w:t>
      </w:r>
    </w:p>
    <w:p w14:paraId="64AAE19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（八）按规定办理其他结算业务。</w:t>
      </w:r>
    </w:p>
    <w:p w14:paraId="0A9C49A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所有在交易所交易系统中成交的合约必须通过交易所进行统一结算。</w:t>
      </w:r>
    </w:p>
    <w:p w14:paraId="28C2343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交易所依据交易所规则对会员、境外经纪机构和客户涉及期货交易的相关资料，包括交易记录、结算资料、财务报表及相关的凭证和账册进行检查时，会员、境外经纪机构和客户应当予以配合。</w:t>
      </w:r>
    </w:p>
    <w:p w14:paraId="3D5992F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会员应当设立结算部门。期货公司会员结算部门负责会员与交易所、会员与境外经纪机构、客户之间的结算工作；非期货公司会员结算部门负责会员与交易所之间的结算工作。</w:t>
      </w:r>
    </w:p>
    <w:p w14:paraId="30690DE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结算部门应妥善保管交易记录、结算资料、财务报表及相关凭证、账册，以备查询和核实。</w:t>
      </w:r>
    </w:p>
    <w:p w14:paraId="4946A1B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交易所应保证结算资料、财务报表及相关凭证、账册的完整与安全，保存期限应不少于</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年。</w:t>
      </w:r>
    </w:p>
    <w:p w14:paraId="35B6EB0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结算交割员是经会员单位授权，代表会员办理结算和交割业务的人员。每一会员须指派两名以上</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含两名</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结算交割员。</w:t>
      </w:r>
    </w:p>
    <w:p w14:paraId="45636DE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结算交割员应符合中国证券监督管理委员会</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以下简称中国证监会</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关于期货从业人员资格的有关规定</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经交易所培训合格</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取得《大连商品交易所结算交割员培训合格证书》</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并经所属会员的法人授权后取得《大连商品交易所结算交割员证》</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以下简称《结算交割员证》</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p>
    <w:p w14:paraId="127CAC5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结算交割员的业务职责：</w:t>
      </w:r>
    </w:p>
    <w:p w14:paraId="53EB27A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（一）办理会员出入金业务；</w:t>
      </w:r>
    </w:p>
    <w:p w14:paraId="7F5DA43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（二）获取交易所提供的结算数据，并及时进行核对；</w:t>
      </w:r>
    </w:p>
    <w:p w14:paraId="4671845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（三）办理作为保证金的资产的交存和提取手续；</w:t>
      </w:r>
    </w:p>
    <w:p w14:paraId="0BEE8D1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（四）办理实物交割手续；</w:t>
      </w:r>
    </w:p>
    <w:p w14:paraId="59A8826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（五）办理其它结算、交割业务。</w:t>
      </w:r>
    </w:p>
    <w:p w14:paraId="309E8BD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结算交割员在交易所办理结算与交割业务时，必须出示《结算交割员证》，否则交易所有权不予办理。</w:t>
      </w:r>
    </w:p>
    <w:p w14:paraId="4D67B7A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《结算交割员证》仅限本人使用，不得伪造、涂改、借用，会员在其结算交割员发生变动时，应及时到交易所办理相关手续。</w:t>
      </w:r>
    </w:p>
    <w:p w14:paraId="1EFE82B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会员应加强对结算交割员的管理，严格操作规范，特别要防止因密码被盗造成泄密。</w:t>
      </w:r>
    </w:p>
    <w:p w14:paraId="24E9DE5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存管银行是指交易所指定的，协助交易所办理期货交易结算业务的银行。</w:t>
      </w:r>
    </w:p>
    <w:p w14:paraId="3B04192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交易所有权对存管银行的期货结算业务进行监督。</w:t>
      </w:r>
    </w:p>
    <w:p w14:paraId="2745F40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银行业金融机构申请交易所期货保证金存管业务资格，以及从事期货保证金存管业务，应当遵守《大连商品交易所指定存管银行管理办法》及交易所其他相关规定。</w:t>
      </w:r>
    </w:p>
    <w:p w14:paraId="41AFFBA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结算相关主体及其工作人员应当保守与结算业务有关的商业秘密。</w:t>
      </w:r>
    </w:p>
    <w:p w14:paraId="1756DFB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交易所根据业务需要在各存管银行开设不同币种专用结算账户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用于存放会员保证金及相关款项。</w:t>
      </w:r>
    </w:p>
    <w:p w14:paraId="7AD1F88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会员应当在存管银行开设业务需要币种的保证金专用账户，用于存放保证金及相关款项。其中，在交易所指定的存管银行分支机构开设的保证金专用账户为会员专用资金账户。</w:t>
      </w:r>
    </w:p>
    <w:p w14:paraId="6437321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会员开立、更名、更换或者注销专用资金账户，应当向交易所提出申请，经交易所同意，方可办理。</w:t>
      </w:r>
    </w:p>
    <w:p w14:paraId="3489BCA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交易所与会员之间期货业务资金的往来结算通过交易所专用结算账户和会员专用资金账户办理。</w:t>
      </w:r>
    </w:p>
    <w:p w14:paraId="2316344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交易所对会员存入交易所专用结算账户的保证金实行分账管理，为每一会员设立明细账户，按日序时登记核算每一会员出入金、盈亏、交易保证金、手续费等。</w:t>
      </w:r>
    </w:p>
    <w:p w14:paraId="25E0155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公司会员应当对其客户、境外经纪机构的保证金实行分账管理，为其每一客户、境外经纪机构设立明细账户，按日序时登记核算其每一客户、境外经纪机构出入金、盈亏、交易保证金、手续费等。期货公司会员通过保证金专用账户与其客户、境外经纪机构的期货结算账户进行期货业务资金往来。</w:t>
      </w:r>
    </w:p>
    <w:p w14:paraId="20A0192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期货公司会员可以以境外经纪机构的名义在内部开设综合资金账户，允许其将一个及以上境外客户的资金合并在综合资金账户中。期货公司会员对境外经纪机构通过综合资金账户进行统一结算和风险控制。</w:t>
      </w:r>
    </w:p>
    <w:p w14:paraId="38F2BA6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境外经纪机构应当对其每个境外客户所交付的保证金实行分账管理，为每一境外客户设立明细账户，按日序时登记核算每一境外客户出入金、盈亏、交易保证金、手续费等。</w:t>
      </w:r>
    </w:p>
    <w:p w14:paraId="52E4C55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会员在开设专用资金账户时</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须向交易所提交《印鉴授权书》等相关资料。</w:t>
      </w:r>
    </w:p>
    <w:p w14:paraId="2D73C45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《印鉴授权书》中被授权的公章、财务章、法定代表人章或其授权人章为会员的有效印鉴，会员应对使用以上印鉴所产生的一切后果承担责任。</w:t>
      </w:r>
    </w:p>
    <w:p w14:paraId="4D3F413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会员更名或转让必须向交易所重新提交《印鉴授权书》，并办理相关专用资金账户的变更手续。</w:t>
      </w:r>
    </w:p>
    <w:p w14:paraId="0EB613D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交易所有权在不通知会员的情况下通过存管银行从会员的专用资金账户中收取各项应收款项</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并且有权随时查询该账户的资金情况。</w:t>
      </w:r>
    </w:p>
    <w:p w14:paraId="7A2389F9" w14:textId="77777777" w:rsidR="00726163" w:rsidRPr="003E3461" w:rsidRDefault="00726163" w:rsidP="003E3461">
      <w:pPr>
        <w:shd w:val="clear" w:color="auto" w:fill="FFFFFF"/>
        <w:jc w:val="center"/>
        <w:rPr>
          <w:rFonts w:ascii="黑体" w:eastAsia="黑体" w:hAnsi="黑体"/>
          <w:color w:val="333333"/>
          <w:kern w:val="0"/>
          <w:sz w:val="32"/>
          <w:szCs w:val="32"/>
        </w:rPr>
      </w:pPr>
      <w:r w:rsidRPr="003E3461">
        <w:rPr>
          <w:rFonts w:ascii="黑体" w:eastAsia="黑体" w:hAnsi="黑体"/>
          <w:color w:val="333333"/>
          <w:kern w:val="0"/>
          <w:sz w:val="32"/>
          <w:szCs w:val="32"/>
        </w:rPr>
        <w:t>第三章 日常结算</w:t>
      </w:r>
    </w:p>
    <w:p w14:paraId="40710D1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交易所实行保证金制度。会员应按规定向交易所交纳一定的资金，用于结算和保证履约。</w:t>
      </w:r>
    </w:p>
    <w:p w14:paraId="4C1114E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保证金分为结算准备金和交易保证金。</w:t>
      </w:r>
    </w:p>
    <w:p w14:paraId="465B0BE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人民币作为交易所结算币种。经交易所同意，外汇资金、标准仓单、可流通的国债等资产（以下统称为作为保证金的资产）可以作为保证金。</w:t>
      </w:r>
    </w:p>
    <w:p w14:paraId="2DE462A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结算准备金是指会员为了交易结算在交易所专用结算账户中预先准备的资金，是未被合约占用的保证金。结算准备金的最低余额由交易所决定。</w:t>
      </w:r>
    </w:p>
    <w:p w14:paraId="2DAA64C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第三十二条　期货公司会员结算准备金最低余额为</w:t>
      </w:r>
      <w:r w:rsidRPr="00726163">
        <w:rPr>
          <w:rFonts w:ascii="Times New Roman" w:eastAsia="仿宋_GB2312" w:hAnsi="Times New Roman"/>
          <w:color w:val="333333"/>
          <w:kern w:val="0"/>
          <w:sz w:val="32"/>
          <w:szCs w:val="32"/>
        </w:rPr>
        <w:t>200</w:t>
      </w:r>
      <w:r w:rsidRPr="00726163">
        <w:rPr>
          <w:rFonts w:ascii="Times New Roman" w:eastAsia="仿宋_GB2312" w:hAnsi="Times New Roman"/>
          <w:color w:val="333333"/>
          <w:kern w:val="0"/>
          <w:sz w:val="32"/>
          <w:szCs w:val="32"/>
        </w:rPr>
        <w:t>万元，非期货公司会员结算准备金最低余额为</w:t>
      </w:r>
      <w:r w:rsidRPr="00726163">
        <w:rPr>
          <w:rFonts w:ascii="Times New Roman" w:eastAsia="仿宋_GB2312" w:hAnsi="Times New Roman"/>
          <w:color w:val="333333"/>
          <w:kern w:val="0"/>
          <w:sz w:val="32"/>
          <w:szCs w:val="32"/>
        </w:rPr>
        <w:t>50</w:t>
      </w:r>
      <w:r w:rsidRPr="00726163">
        <w:rPr>
          <w:rFonts w:ascii="Times New Roman" w:eastAsia="仿宋_GB2312" w:hAnsi="Times New Roman"/>
          <w:color w:val="333333"/>
          <w:kern w:val="0"/>
          <w:sz w:val="32"/>
          <w:szCs w:val="32"/>
        </w:rPr>
        <w:t>万元。</w:t>
      </w:r>
    </w:p>
    <w:p w14:paraId="7CEA2A7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期货公司会员每接受一家境外经纪机构委托交易结算的，该会员的结算准备金最低余额的相应要求由交易所另行通知。</w:t>
      </w:r>
    </w:p>
    <w:p w14:paraId="3E6D270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会员结算准备金最低余额应当以人民币自有资金缴纳。</w:t>
      </w:r>
    </w:p>
    <w:p w14:paraId="7C7FDA3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交易所根据会员当日结算准备金余额中的货币资金部分，以不低于中国人民银行公布的相应币种的同期银行活期存款利率计算利息，交易所对具体执行利率进行公示并在每年的</w:t>
      </w:r>
      <w:r w:rsidRPr="00726163">
        <w:rPr>
          <w:rFonts w:ascii="Times New Roman" w:eastAsia="仿宋_GB2312" w:hAnsi="Times New Roman"/>
          <w:color w:val="333333"/>
          <w:kern w:val="0"/>
          <w:sz w:val="32"/>
          <w:szCs w:val="32"/>
        </w:rPr>
        <w:t xml:space="preserve">3 </w:t>
      </w:r>
      <w:r w:rsidRPr="00726163">
        <w:rPr>
          <w:rFonts w:ascii="Times New Roman" w:eastAsia="仿宋_GB2312" w:hAnsi="Times New Roman"/>
          <w:color w:val="333333"/>
          <w:kern w:val="0"/>
          <w:sz w:val="32"/>
          <w:szCs w:val="32"/>
        </w:rPr>
        <w:t>月、</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月、</w:t>
      </w:r>
      <w:r w:rsidRPr="00726163">
        <w:rPr>
          <w:rFonts w:ascii="Times New Roman" w:eastAsia="仿宋_GB2312" w:hAnsi="Times New Roman"/>
          <w:color w:val="333333"/>
          <w:kern w:val="0"/>
          <w:sz w:val="32"/>
          <w:szCs w:val="32"/>
        </w:rPr>
        <w:t>9</w:t>
      </w:r>
      <w:r w:rsidRPr="00726163">
        <w:rPr>
          <w:rFonts w:ascii="Times New Roman" w:eastAsia="仿宋_GB2312" w:hAnsi="Times New Roman"/>
          <w:color w:val="333333"/>
          <w:kern w:val="0"/>
          <w:sz w:val="32"/>
          <w:szCs w:val="32"/>
        </w:rPr>
        <w:t>月和</w:t>
      </w:r>
      <w:r w:rsidRPr="00726163">
        <w:rPr>
          <w:rFonts w:ascii="Times New Roman" w:eastAsia="仿宋_GB2312" w:hAnsi="Times New Roman"/>
          <w:color w:val="333333"/>
          <w:kern w:val="0"/>
          <w:sz w:val="32"/>
          <w:szCs w:val="32"/>
        </w:rPr>
        <w:t>12</w:t>
      </w:r>
      <w:r w:rsidRPr="00726163">
        <w:rPr>
          <w:rFonts w:ascii="Times New Roman" w:eastAsia="仿宋_GB2312" w:hAnsi="Times New Roman"/>
          <w:color w:val="333333"/>
          <w:kern w:val="0"/>
          <w:sz w:val="32"/>
          <w:szCs w:val="32"/>
        </w:rPr>
        <w:t>月下旬将利息支付给会员。具体执行利率由交易所确定、调整并公布。</w:t>
      </w:r>
    </w:p>
    <w:p w14:paraId="4FE253A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交易保证金是指会员在交易所专用结算账户中确保合约履行的资金，是已被合约占用的保证金。当买卖双方成交后</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交易所按持仓合约价值的一定比率收取交易保证金。</w:t>
      </w:r>
    </w:p>
    <w:p w14:paraId="38B117F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标准仓单交到交易所后，与其所示数量相同的最近交割月份卖持仓交易保证金在结算时不再收取。黄大豆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号、鸡蛋等品种期货业务细则另有规定的，适用其规定。</w:t>
      </w:r>
    </w:p>
    <w:p w14:paraId="7CF081A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各品种合约的交易保证金收取标准按交易所保证金制度有关规定执行。</w:t>
      </w:r>
    </w:p>
    <w:p w14:paraId="31AB666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期货公司会员向其客户收取的保证金属于客户所有，应当存放于会员保证金专用账户，以备随时交付保证金及有关费用。</w:t>
      </w:r>
    </w:p>
    <w:p w14:paraId="1784127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期货公司会员向境外经纪机构收取的保证金属于境外经纪机构所有，应当存放于会员保证金专用账户，以备随时交付保证金及有关费用。</w:t>
      </w:r>
    </w:p>
    <w:p w14:paraId="40C5875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期货公司会员除按照中国证监会的规定为其客户、境外经纪机构向交易所交存保证金、进行交易结算外，严禁将保证金挪作他用。</w:t>
      </w:r>
    </w:p>
    <w:p w14:paraId="74E7121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期货公司会员向其客户、境外经纪机构收取的交易保证金不得低于交易所向会员收取的交易保证金。</w:t>
      </w:r>
    </w:p>
    <w:p w14:paraId="5FACE5B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交易所根据会员当日成交合约数量或者成交合约金额收取交易手续费。交易所可以针对不同品种、合约、交易类型、交易量和持仓量等制定不同的交易手续费标准。</w:t>
      </w:r>
    </w:p>
    <w:p w14:paraId="06F6CCF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交易所可以根据下单、撤单的笔数或手数等收取申报费、撤单费等费用。</w:t>
      </w:r>
    </w:p>
    <w:p w14:paraId="452308B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交易手续费、申报费、撤单费等费用标准由交易所另行规定，交易所可以根据市场情况对费用收取方式和收取标准进行调整。</w:t>
      </w:r>
    </w:p>
    <w:p w14:paraId="6C12F3A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交易所可以对会员应交纳的交易手续费进行减收，减收方案由交易所另行制定并根据市场情况进行调整。</w:t>
      </w:r>
    </w:p>
    <w:p w14:paraId="2E1B3CD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交易所实行当日无负债结算制度。</w:t>
      </w:r>
    </w:p>
    <w:p w14:paraId="65F8F94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当日无负债结算制度是指每日交易结束后，交易所按当日结算价结算所有合约的盈亏、交易保证金及手续费等费用，对应收应付的款项实行净额一次划转，相应增加或减少会员的结算准备金。</w:t>
      </w:r>
    </w:p>
    <w:p w14:paraId="1B7F694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期货合约当日结算价是指某一期货合约当日成交价格按照成交量的加权平均价。当日无成交价格的，其合约的当日结算价按照下列方法确定：</w:t>
      </w:r>
    </w:p>
    <w:p w14:paraId="01F70F9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Pr>
          <w:rFonts w:ascii="Times New Roman" w:eastAsia="仿宋_GB2312" w:hAnsi="Times New Roman" w:hint="eastAsia"/>
          <w:color w:val="333333"/>
          <w:kern w:val="0"/>
          <w:sz w:val="32"/>
          <w:szCs w:val="32"/>
        </w:rPr>
        <w:t>（一）</w:t>
      </w:r>
      <w:r w:rsidRPr="00726163">
        <w:rPr>
          <w:rFonts w:ascii="Times New Roman" w:eastAsia="仿宋_GB2312" w:hAnsi="Times New Roman"/>
          <w:color w:val="333333"/>
          <w:kern w:val="0"/>
          <w:sz w:val="32"/>
          <w:szCs w:val="32"/>
        </w:rPr>
        <w:t>若合约当日有买、卖双方委托报价的，以最高买报价、最低卖报价与该合约上一交易日的结算价三者居中的一个价格作为合约的当日结算价；</w:t>
      </w:r>
    </w:p>
    <w:p w14:paraId="7E1D767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Pr>
          <w:rFonts w:ascii="Times New Roman" w:eastAsia="仿宋_GB2312" w:hAnsi="Times New Roman" w:hint="eastAsia"/>
          <w:color w:val="333333"/>
          <w:kern w:val="0"/>
          <w:sz w:val="32"/>
          <w:szCs w:val="32"/>
        </w:rPr>
        <w:t>（二）</w:t>
      </w:r>
      <w:r w:rsidRPr="00726163">
        <w:rPr>
          <w:rFonts w:ascii="Times New Roman" w:eastAsia="仿宋_GB2312" w:hAnsi="Times New Roman"/>
          <w:color w:val="333333"/>
          <w:kern w:val="0"/>
          <w:sz w:val="32"/>
          <w:szCs w:val="32"/>
        </w:rPr>
        <w:t>若合约出现涨（跌）停板单边无连续报价的，以该停板价格作为合约的当日结算价；</w:t>
      </w:r>
    </w:p>
    <w:p w14:paraId="4B57451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Pr>
          <w:rFonts w:ascii="Times New Roman" w:eastAsia="仿宋_GB2312" w:hAnsi="Times New Roman" w:hint="eastAsia"/>
          <w:color w:val="333333"/>
          <w:kern w:val="0"/>
          <w:sz w:val="32"/>
          <w:szCs w:val="32"/>
        </w:rPr>
        <w:t>（三）</w:t>
      </w:r>
      <w:r w:rsidRPr="00726163">
        <w:rPr>
          <w:rFonts w:ascii="Times New Roman" w:eastAsia="仿宋_GB2312" w:hAnsi="Times New Roman"/>
          <w:color w:val="333333"/>
          <w:kern w:val="0"/>
          <w:sz w:val="32"/>
          <w:szCs w:val="32"/>
        </w:rPr>
        <w:t>若合约当日无委托报价，或者有买或卖单方委托报价但未出现涨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跌</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停板单边无连续报价的，以当日距无成交合约最近的前一有成交合约作为基准合约计算当日无成交合约结算价：</w:t>
      </w:r>
    </w:p>
    <w:p w14:paraId="6E02969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若基准合约当日结算价的涨跌幅度（</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）小于等于当日无成交合约当日的涨跌停板，则当日无成交合约结算价＝该合约上一交易日的结算价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基准合约结算价的涨跌幅度）。</w:t>
      </w:r>
    </w:p>
    <w:p w14:paraId="7457F5C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若基准合约当日结算价的涨跌幅度（</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）大于当日无成交合约当日的涨跌停板，则当日无成交合约结算价＝该合约上一交易日的结算价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该合约的当日涨跌停板幅度）。</w:t>
      </w:r>
    </w:p>
    <w:p w14:paraId="6D7C7B6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若无法找到基准合约，则当日无成交合约结算价＝上一交易日该合约的结算价；新合约上市第一日若无法找到基准合约，则当日无成交合约结算价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挂盘基准价。</w:t>
      </w:r>
    </w:p>
    <w:p w14:paraId="5B9618F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新上市合约连续三个交易日无成交，交易所可另行调整结算价。</w:t>
      </w:r>
    </w:p>
    <w:p w14:paraId="2848CF1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交易所进行合约、规则调整的，对于当前无持仓且连续三个交易日无成交的已挂牌合约，交易所可另行调整结算价。</w:t>
      </w:r>
    </w:p>
    <w:p w14:paraId="0C3E706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期货合约均以当日结算价作为计算当日盈亏的依据。具体计算公式如下：</w:t>
      </w:r>
    </w:p>
    <w:p w14:paraId="526A728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当日盈亏</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平仓盈亏</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持仓盈亏</w:t>
      </w:r>
    </w:p>
    <w:p w14:paraId="58B8D32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平仓盈亏</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平历史仓盈亏</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平当日仓盈亏</w:t>
      </w:r>
    </w:p>
    <w:p w14:paraId="458A444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平历史仓盈亏</w:t>
      </w:r>
      <w:r w:rsidRPr="00726163">
        <w:rPr>
          <w:rFonts w:ascii="Times New Roman" w:eastAsia="仿宋_GB2312" w:hAnsi="Times New Roman"/>
          <w:color w:val="333333"/>
          <w:kern w:val="0"/>
          <w:sz w:val="32"/>
          <w:szCs w:val="32"/>
        </w:rPr>
        <w:t xml:space="preserve"> =Σ [(</w:t>
      </w:r>
      <w:r w:rsidRPr="00726163">
        <w:rPr>
          <w:rFonts w:ascii="Times New Roman" w:eastAsia="仿宋_GB2312" w:hAnsi="Times New Roman"/>
          <w:color w:val="333333"/>
          <w:kern w:val="0"/>
          <w:sz w:val="32"/>
          <w:szCs w:val="32"/>
        </w:rPr>
        <w:t>卖出平仓价－上一交易日结算价</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卖出平仓量</w:t>
      </w:r>
      <w:r w:rsidRPr="00726163">
        <w:rPr>
          <w:rFonts w:ascii="Times New Roman" w:eastAsia="仿宋_GB2312" w:hAnsi="Times New Roman"/>
          <w:color w:val="333333"/>
          <w:kern w:val="0"/>
          <w:sz w:val="32"/>
          <w:szCs w:val="32"/>
        </w:rPr>
        <w:t xml:space="preserve">]+ Σ [( </w:t>
      </w:r>
      <w:r w:rsidRPr="00726163">
        <w:rPr>
          <w:rFonts w:ascii="Times New Roman" w:eastAsia="仿宋_GB2312" w:hAnsi="Times New Roman"/>
          <w:color w:val="333333"/>
          <w:kern w:val="0"/>
          <w:sz w:val="32"/>
          <w:szCs w:val="32"/>
        </w:rPr>
        <w:t>上一交易日结算价－买入平仓价</w:t>
      </w:r>
      <w:r w:rsidRPr="00726163">
        <w:rPr>
          <w:rFonts w:ascii="Times New Roman" w:eastAsia="仿宋_GB2312" w:hAnsi="Times New Roman"/>
          <w:color w:val="333333"/>
          <w:kern w:val="0"/>
          <w:sz w:val="32"/>
          <w:szCs w:val="32"/>
        </w:rPr>
        <w:t xml:space="preserve"> ) ×</w:t>
      </w:r>
      <w:r w:rsidRPr="00726163">
        <w:rPr>
          <w:rFonts w:ascii="Times New Roman" w:eastAsia="仿宋_GB2312" w:hAnsi="Times New Roman"/>
          <w:color w:val="333333"/>
          <w:kern w:val="0"/>
          <w:sz w:val="32"/>
          <w:szCs w:val="32"/>
        </w:rPr>
        <w:t>买入平仓量</w:t>
      </w:r>
      <w:r w:rsidRPr="00726163">
        <w:rPr>
          <w:rFonts w:ascii="Times New Roman" w:eastAsia="仿宋_GB2312" w:hAnsi="Times New Roman"/>
          <w:color w:val="333333"/>
          <w:kern w:val="0"/>
          <w:sz w:val="32"/>
          <w:szCs w:val="32"/>
        </w:rPr>
        <w:t>]</w:t>
      </w:r>
    </w:p>
    <w:p w14:paraId="646A5D5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平当日仓盈亏</w:t>
      </w:r>
      <w:r w:rsidRPr="00726163">
        <w:rPr>
          <w:rFonts w:ascii="Times New Roman" w:eastAsia="仿宋_GB2312" w:hAnsi="Times New Roman"/>
          <w:color w:val="333333"/>
          <w:kern w:val="0"/>
          <w:sz w:val="32"/>
          <w:szCs w:val="32"/>
        </w:rPr>
        <w:t xml:space="preserve"> =Σ [(</w:t>
      </w:r>
      <w:r w:rsidRPr="00726163">
        <w:rPr>
          <w:rFonts w:ascii="Times New Roman" w:eastAsia="仿宋_GB2312" w:hAnsi="Times New Roman"/>
          <w:color w:val="333333"/>
          <w:kern w:val="0"/>
          <w:sz w:val="32"/>
          <w:szCs w:val="32"/>
        </w:rPr>
        <w:t>当日卖出平仓价－当日买入开仓价</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卖出平仓量</w:t>
      </w:r>
      <w:r w:rsidRPr="00726163">
        <w:rPr>
          <w:rFonts w:ascii="Times New Roman" w:eastAsia="仿宋_GB2312" w:hAnsi="Times New Roman"/>
          <w:color w:val="333333"/>
          <w:kern w:val="0"/>
          <w:sz w:val="32"/>
          <w:szCs w:val="32"/>
        </w:rPr>
        <w:t xml:space="preserve">]+ Σ [( </w:t>
      </w:r>
      <w:r w:rsidRPr="00726163">
        <w:rPr>
          <w:rFonts w:ascii="Times New Roman" w:eastAsia="仿宋_GB2312" w:hAnsi="Times New Roman"/>
          <w:color w:val="333333"/>
          <w:kern w:val="0"/>
          <w:sz w:val="32"/>
          <w:szCs w:val="32"/>
        </w:rPr>
        <w:t>当日卖出开仓价－当日买入平仓价</w:t>
      </w:r>
      <w:r w:rsidRPr="00726163">
        <w:rPr>
          <w:rFonts w:ascii="Times New Roman" w:eastAsia="仿宋_GB2312" w:hAnsi="Times New Roman"/>
          <w:color w:val="333333"/>
          <w:kern w:val="0"/>
          <w:sz w:val="32"/>
          <w:szCs w:val="32"/>
        </w:rPr>
        <w:t xml:space="preserve"> ) ×</w:t>
      </w:r>
      <w:r w:rsidRPr="00726163">
        <w:rPr>
          <w:rFonts w:ascii="Times New Roman" w:eastAsia="仿宋_GB2312" w:hAnsi="Times New Roman"/>
          <w:color w:val="333333"/>
          <w:kern w:val="0"/>
          <w:sz w:val="32"/>
          <w:szCs w:val="32"/>
        </w:rPr>
        <w:t>买入平仓量</w:t>
      </w:r>
      <w:r w:rsidRPr="00726163">
        <w:rPr>
          <w:rFonts w:ascii="Times New Roman" w:eastAsia="仿宋_GB2312" w:hAnsi="Times New Roman"/>
          <w:color w:val="333333"/>
          <w:kern w:val="0"/>
          <w:sz w:val="32"/>
          <w:szCs w:val="32"/>
        </w:rPr>
        <w:t>]</w:t>
      </w:r>
    </w:p>
    <w:p w14:paraId="5F8ABA2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持仓盈亏</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历史持仓盈亏</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当日开仓持仓盈亏</w:t>
      </w:r>
    </w:p>
    <w:p w14:paraId="6813455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历史持仓盈亏</w:t>
      </w:r>
      <w:r w:rsidRPr="00726163">
        <w:rPr>
          <w:rFonts w:ascii="Times New Roman" w:eastAsia="仿宋_GB2312" w:hAnsi="Times New Roman"/>
          <w:color w:val="333333"/>
          <w:kern w:val="0"/>
          <w:sz w:val="32"/>
          <w:szCs w:val="32"/>
        </w:rPr>
        <w:t xml:space="preserve"> =Σ [(</w:t>
      </w:r>
      <w:r w:rsidRPr="00726163">
        <w:rPr>
          <w:rFonts w:ascii="Times New Roman" w:eastAsia="仿宋_GB2312" w:hAnsi="Times New Roman"/>
          <w:color w:val="333333"/>
          <w:kern w:val="0"/>
          <w:sz w:val="32"/>
          <w:szCs w:val="32"/>
        </w:rPr>
        <w:t>上一日结算价－当日结算价</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卖出历史持仓量</w:t>
      </w:r>
      <w:r w:rsidRPr="00726163">
        <w:rPr>
          <w:rFonts w:ascii="Times New Roman" w:eastAsia="仿宋_GB2312" w:hAnsi="Times New Roman"/>
          <w:color w:val="333333"/>
          <w:kern w:val="0"/>
          <w:sz w:val="32"/>
          <w:szCs w:val="32"/>
        </w:rPr>
        <w:t xml:space="preserve">]+ Σ [( </w:t>
      </w:r>
      <w:r w:rsidRPr="00726163">
        <w:rPr>
          <w:rFonts w:ascii="Times New Roman" w:eastAsia="仿宋_GB2312" w:hAnsi="Times New Roman"/>
          <w:color w:val="333333"/>
          <w:kern w:val="0"/>
          <w:sz w:val="32"/>
          <w:szCs w:val="32"/>
        </w:rPr>
        <w:t>当日结算价－上一日结算价</w:t>
      </w:r>
      <w:r w:rsidRPr="00726163">
        <w:rPr>
          <w:rFonts w:ascii="Times New Roman" w:eastAsia="仿宋_GB2312" w:hAnsi="Times New Roman"/>
          <w:color w:val="333333"/>
          <w:kern w:val="0"/>
          <w:sz w:val="32"/>
          <w:szCs w:val="32"/>
        </w:rPr>
        <w:t xml:space="preserve"> ) ×</w:t>
      </w:r>
      <w:r w:rsidRPr="00726163">
        <w:rPr>
          <w:rFonts w:ascii="Times New Roman" w:eastAsia="仿宋_GB2312" w:hAnsi="Times New Roman"/>
          <w:color w:val="333333"/>
          <w:kern w:val="0"/>
          <w:sz w:val="32"/>
          <w:szCs w:val="32"/>
        </w:rPr>
        <w:t>买入历史持仓量</w:t>
      </w:r>
      <w:r w:rsidRPr="00726163">
        <w:rPr>
          <w:rFonts w:ascii="Times New Roman" w:eastAsia="仿宋_GB2312" w:hAnsi="Times New Roman"/>
          <w:color w:val="333333"/>
          <w:kern w:val="0"/>
          <w:sz w:val="32"/>
          <w:szCs w:val="32"/>
        </w:rPr>
        <w:t>]</w:t>
      </w:r>
    </w:p>
    <w:p w14:paraId="465769F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当日开仓持仓盈亏</w:t>
      </w:r>
      <w:r w:rsidRPr="00726163">
        <w:rPr>
          <w:rFonts w:ascii="Times New Roman" w:eastAsia="仿宋_GB2312" w:hAnsi="Times New Roman"/>
          <w:color w:val="333333"/>
          <w:kern w:val="0"/>
          <w:sz w:val="32"/>
          <w:szCs w:val="32"/>
        </w:rPr>
        <w:t xml:space="preserve"> =Σ [(</w:t>
      </w:r>
      <w:r w:rsidRPr="00726163">
        <w:rPr>
          <w:rFonts w:ascii="Times New Roman" w:eastAsia="仿宋_GB2312" w:hAnsi="Times New Roman"/>
          <w:color w:val="333333"/>
          <w:kern w:val="0"/>
          <w:sz w:val="32"/>
          <w:szCs w:val="32"/>
        </w:rPr>
        <w:t>卖出开仓价－当日结算价</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卖出开仓量</w:t>
      </w:r>
      <w:r w:rsidRPr="00726163">
        <w:rPr>
          <w:rFonts w:ascii="Times New Roman" w:eastAsia="仿宋_GB2312" w:hAnsi="Times New Roman"/>
          <w:color w:val="333333"/>
          <w:kern w:val="0"/>
          <w:sz w:val="32"/>
          <w:szCs w:val="32"/>
        </w:rPr>
        <w:t xml:space="preserve">]+ Σ [( </w:t>
      </w:r>
      <w:r w:rsidRPr="00726163">
        <w:rPr>
          <w:rFonts w:ascii="Times New Roman" w:eastAsia="仿宋_GB2312" w:hAnsi="Times New Roman"/>
          <w:color w:val="333333"/>
          <w:kern w:val="0"/>
          <w:sz w:val="32"/>
          <w:szCs w:val="32"/>
        </w:rPr>
        <w:t>当日结算价－买入开仓价</w:t>
      </w:r>
      <w:r w:rsidRPr="00726163">
        <w:rPr>
          <w:rFonts w:ascii="Times New Roman" w:eastAsia="仿宋_GB2312" w:hAnsi="Times New Roman"/>
          <w:color w:val="333333"/>
          <w:kern w:val="0"/>
          <w:sz w:val="32"/>
          <w:szCs w:val="32"/>
        </w:rPr>
        <w:t xml:space="preserve"> ) ×</w:t>
      </w:r>
      <w:r w:rsidRPr="00726163">
        <w:rPr>
          <w:rFonts w:ascii="Times New Roman" w:eastAsia="仿宋_GB2312" w:hAnsi="Times New Roman"/>
          <w:color w:val="333333"/>
          <w:kern w:val="0"/>
          <w:sz w:val="32"/>
          <w:szCs w:val="32"/>
        </w:rPr>
        <w:t>买入开仓量</w:t>
      </w:r>
      <w:r w:rsidRPr="00726163">
        <w:rPr>
          <w:rFonts w:ascii="Times New Roman" w:eastAsia="仿宋_GB2312" w:hAnsi="Times New Roman"/>
          <w:color w:val="333333"/>
          <w:kern w:val="0"/>
          <w:sz w:val="32"/>
          <w:szCs w:val="32"/>
        </w:rPr>
        <w:t>]</w:t>
      </w:r>
    </w:p>
    <w:p w14:paraId="22897A1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14:paraId="0F1D3E7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手续费等各项费用、交割货款从会员结算准备金中扣划。盈亏、费用、货款、税金和期权权利金等款项应当以人民币货币资金支付。</w:t>
      </w:r>
    </w:p>
    <w:p w14:paraId="6FF11B1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结算准备金余额的具体计算公式如下：</w:t>
      </w:r>
    </w:p>
    <w:p w14:paraId="0FAA0BD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当日结算准备金余额</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上一交易日结算准备金余额</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上一交易日交易保证金－当日交易保证金</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当日作为保证金的资产的实际可用金额</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上一交易日作为保证金的资产的实际可用金额</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当日盈亏</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当日期权权利金收支</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入金－出金－手续费等</w:t>
      </w:r>
    </w:p>
    <w:p w14:paraId="0995FF8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作为保证金的资产的实际可用金额具体计算方法见本办法第五章的有关规定。</w:t>
      </w:r>
    </w:p>
    <w:p w14:paraId="5A7849D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结算完毕后，会员的结算准备金低于最低余额时，该结算结果即视为交易所向会员发出的追加保证金通知。</w:t>
      </w:r>
    </w:p>
    <w:p w14:paraId="53B488C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会员应当在下一个交易日开市前补足至结算准备金最低余额。未补足的，若结算准备金余额大于零而低于结算准备金最低余额，禁止开新仓；若结算准备金余额小于零，则交易所将按有关规定对该会员强行平仓。</w:t>
      </w:r>
    </w:p>
    <w:p w14:paraId="4FEF25E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的结算准备金中人民币资金低于结算准备金最低余额时，交易所向会员发出追加人民币通知。会员应当在下一个交易日开市前补足人民币资金至结算准备金最低余额。未补足的，交易所可以在下一交易日第二小节闭市后对专用结算账户中该会员的外汇资金或会员专用资金账户中的外汇资金进行强制换汇。</w:t>
      </w:r>
    </w:p>
    <w:p w14:paraId="248F292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交易所本着准确、快捷的原则为会员办理出入金业务。正常情况下，会员在每个交易日闭市之前提出的书面、电子等方式入金申请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交易所将于当日闭市前完成会员入金业务，会员在每个交易日闭市之后提出的书面入金申请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交易所将于下一交易日开市前完成会员入金业务；会员应在每个交易日</w:t>
      </w:r>
      <w:r w:rsidRPr="00726163">
        <w:rPr>
          <w:rFonts w:ascii="Times New Roman" w:eastAsia="仿宋_GB2312" w:hAnsi="Times New Roman"/>
          <w:color w:val="333333"/>
          <w:kern w:val="0"/>
          <w:sz w:val="32"/>
          <w:szCs w:val="32"/>
        </w:rPr>
        <w:t>15:10</w:t>
      </w:r>
      <w:r w:rsidRPr="00726163">
        <w:rPr>
          <w:rFonts w:ascii="Times New Roman" w:eastAsia="仿宋_GB2312" w:hAnsi="Times New Roman"/>
          <w:color w:val="333333"/>
          <w:kern w:val="0"/>
          <w:sz w:val="32"/>
          <w:szCs w:val="32"/>
        </w:rPr>
        <w:t>之前提出书面、电子等方式出金申请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经交易所审核后</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于当日</w:t>
      </w:r>
      <w:r w:rsidRPr="00726163">
        <w:rPr>
          <w:rFonts w:ascii="Times New Roman" w:eastAsia="仿宋_GB2312" w:hAnsi="Times New Roman"/>
          <w:color w:val="333333"/>
          <w:kern w:val="0"/>
          <w:sz w:val="32"/>
          <w:szCs w:val="32"/>
        </w:rPr>
        <w:t>15:10</w:t>
      </w:r>
      <w:r w:rsidRPr="00726163">
        <w:rPr>
          <w:rFonts w:ascii="Times New Roman" w:eastAsia="仿宋_GB2312" w:hAnsi="Times New Roman"/>
          <w:color w:val="333333"/>
          <w:kern w:val="0"/>
          <w:sz w:val="32"/>
          <w:szCs w:val="32"/>
        </w:rPr>
        <w:t>后集中办理会员出金划转。特殊情况下，交易所办理出入金业务时间顺延。</w:t>
      </w:r>
    </w:p>
    <w:p w14:paraId="232A832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夜盘交易小节，交易所不受理出金申请、不办理出金业务。</w:t>
      </w:r>
    </w:p>
    <w:p w14:paraId="30F63BA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会员出金必须符合交易所规定。会员的出金标准为：</w:t>
      </w:r>
    </w:p>
    <w:p w14:paraId="715BFA6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（一）作为保证金的有价证券实际可用金额大于等于交易保证金的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时</w:t>
      </w:r>
    </w:p>
    <w:p w14:paraId="70A2B8E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可出金额</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实有货币资金</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交易保证金</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结算准备金最低余额</w:t>
      </w:r>
    </w:p>
    <w:p w14:paraId="2D9C74A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（二）作为保证金的有价证券实际可用金额小于交易保证金的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时</w:t>
      </w:r>
    </w:p>
    <w:p w14:paraId="6632D79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可出金额</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实有货币资金</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（交易保证金</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作为保证金的有价证券实际可用金额）</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结算准备金最低余额</w:t>
      </w:r>
    </w:p>
    <w:p w14:paraId="4785C84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实有货币资金指实有人民币资金和外汇资金价值按照折扣比率折算后的人民币金额之和，外汇资金的折算方法见本办法第五章的规定。</w:t>
      </w:r>
    </w:p>
    <w:p w14:paraId="7260E80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外汇资金折算的人民币金额不可以人民币方式出金，外汇可出金额以交存的外汇资金为限。</w:t>
      </w:r>
    </w:p>
    <w:p w14:paraId="0AB2B3D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交易所可根据市场风险状况和允许使用的外汇种类对会员出金标准做适当调整。</w:t>
      </w:r>
    </w:p>
    <w:p w14:paraId="04A9B0F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有下列情况之一的会员、境外经纪机构和客户，交易所可限制会员出金，要求会员限制其客户、境外经纪机构出金，以及要求会员、境外经纪机构配合限制客户出金：</w:t>
      </w:r>
    </w:p>
    <w:p w14:paraId="7CF6011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（一）涉嫌重大违规，经交易所立案调查的；</w:t>
      </w:r>
    </w:p>
    <w:p w14:paraId="0494ACA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（二）因投诉、举报、交易纠纷等被司法部门、交易所或其他有关部门正式立案调查，且正处在调查期间；</w:t>
      </w:r>
    </w:p>
    <w:p w14:paraId="56AFEEF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（三）会员未在规定的时间内补足人民币至结算准备金最低余额或不配合交易所为其客户、境外经纪机构进行结购汇时；</w:t>
      </w:r>
    </w:p>
    <w:p w14:paraId="366F35F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（四）交易所认为市场出现重大风险的；</w:t>
      </w:r>
    </w:p>
    <w:p w14:paraId="63766CC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（五）交易所认为必要的其他情况。</w:t>
      </w:r>
    </w:p>
    <w:p w14:paraId="513891B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日交易结束后，交易所对每一会员的盈亏、交易手续费、交易保证金等款项进行结算。交易所采用发放结算单据或电子传输等方式向会员提供当日结算数据，包括：《大连商品交易所会员当日成交合约表》、《大连商品交易所会员当日平仓盈亏表》、《大连商品交易所会员当日持仓表》和《大连商品交易所会员资金结算表》等。</w:t>
      </w:r>
    </w:p>
    <w:p w14:paraId="023A2D5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遇特殊情况造成交易所不能按时提供结算数据，交易所将另行通知提供结算数据的时间。</w:t>
      </w:r>
    </w:p>
    <w:p w14:paraId="0CEAF82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会员每日应及时地取得交易所提供的结算数据，做好核对工作，并将之妥善保存，该数据至少保存</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年，但对有关期货交易有争议的，应当保存至该争议消除时为止。</w:t>
      </w:r>
    </w:p>
    <w:p w14:paraId="2D3E4F2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会员如对结算数据有异议</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应不迟于下一交易日开市前三十分钟以书面形式通知交易所。遇特殊情况，会员可在下一交易日开市后二小时内以书面形式通知交易所。如在规定时间内会员没有对结算数据提出异议</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则视作会员已认可结算数据的正确性。</w:t>
      </w:r>
    </w:p>
    <w:p w14:paraId="4A6E6B7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交易所将在每月的第一个交易日向会员提供上月的《大连商品交易所资金结算核对单</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代收据</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加盖结算专用章</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作为会员核查交易账簿记录的依据。</w:t>
      </w:r>
    </w:p>
    <w:p w14:paraId="091E621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发生下列情形之一的，经交易所批准，可进行移仓：</w:t>
      </w:r>
    </w:p>
    <w:p w14:paraId="6DA57C5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（一）期货公司会员发生合并、分立、破产；</w:t>
      </w:r>
    </w:p>
    <w:p w14:paraId="009F349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（二）期货公司会员因故不能从事期货经纪业务；</w:t>
      </w:r>
    </w:p>
    <w:p w14:paraId="76B0BCB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（三）期货公司会员变更与境外经纪机构委托关系的；</w:t>
      </w:r>
    </w:p>
    <w:p w14:paraId="7543FBF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（四）交易所认可的其他移仓情况。</w:t>
      </w:r>
    </w:p>
    <w:p w14:paraId="4C25148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发生（一）、（二）项规定的情形，期货公司会员应当按照国家法律、法规和其他规定予以公告，并将有关公告提交交易所。</w:t>
      </w:r>
    </w:p>
    <w:p w14:paraId="45927AD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期货公司会员发生合并时，由期货公司会员提出移仓申请，申请材料中应当包括移入和移出仓位、期货公司会员同意移仓的申请书、境外经纪机构同意移仓的申请书以及客户持仓的详细清单。发生其他情形时，由期货公司会员和其客户、境外经纪机构共同提出移仓申请，申请材料中应当包括移入和移出仓位、期货公司会员同意移仓的申请书、期货公司会员的客户和境外经纪机构同意移仓的申请书以及客户持仓的详细清单。</w:t>
      </w:r>
    </w:p>
    <w:p w14:paraId="1F7FF34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发生（三）项规定的情形，由移入仓位的期货公司会员提出移仓申请，申请材料中应当包括移入和移出仓位的期货公司会员同意移仓的申请书、境外经纪机构同意移仓的申请书、境外经纪机构变更委托关系的声明书以及客户持仓的详细清单。</w:t>
      </w:r>
    </w:p>
    <w:p w14:paraId="0AA4F53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发生（四）项规定的情形，移仓办理由交易所另行规定。</w:t>
      </w:r>
    </w:p>
    <w:p w14:paraId="755EF8B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在期货公司会员出现破产等重大经营危机但未提出申请的特殊情况下，为保护客户权益，交易所可以启动应急预案，办理客户移仓。这种情况下的办理由交易所另行规定。</w:t>
      </w:r>
    </w:p>
    <w:p w14:paraId="5778933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移仓申请经批准后</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交易所将与期货公司会员约定一周内的某一交易日为客户移仓结算日。</w:t>
      </w:r>
    </w:p>
    <w:p w14:paraId="47B4A63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交易所将在约定日期的当日结算完成后，为期货公司会员实施客户移仓</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并提供客户移仓前和移仓后的持仓清单由期货公司会员确认。</w:t>
      </w:r>
    </w:p>
    <w:p w14:paraId="785A0BE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移仓内容仅包括客户的持仓及相应的交易保证金</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不包括当日的盈亏、交易手续费、结算准备金等其他款项。</w:t>
      </w:r>
    </w:p>
    <w:p w14:paraId="3188BC3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期货公司会员应仔细核对移仓前后客户的移仓情况</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一经确认</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不得更改。</w:t>
      </w:r>
    </w:p>
    <w:p w14:paraId="65AA906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会员当日结算准备金余额低于零或者持有有价证券作为保证金的，不得办理移仓。</w:t>
      </w:r>
    </w:p>
    <w:p w14:paraId="5B73BA1B" w14:textId="77777777" w:rsidR="00726163" w:rsidRPr="003E3461" w:rsidRDefault="00726163" w:rsidP="003E3461">
      <w:pPr>
        <w:shd w:val="clear" w:color="auto" w:fill="FFFFFF"/>
        <w:jc w:val="center"/>
        <w:rPr>
          <w:rFonts w:ascii="黑体" w:eastAsia="黑体" w:hAnsi="黑体"/>
          <w:color w:val="333333"/>
          <w:kern w:val="0"/>
          <w:sz w:val="32"/>
          <w:szCs w:val="32"/>
        </w:rPr>
      </w:pPr>
      <w:r w:rsidRPr="003E3461">
        <w:rPr>
          <w:rFonts w:ascii="黑体" w:eastAsia="黑体" w:hAnsi="黑体"/>
          <w:color w:val="333333"/>
          <w:kern w:val="0"/>
          <w:sz w:val="32"/>
          <w:szCs w:val="32"/>
        </w:rPr>
        <w:t>第四章 实物交割结算</w:t>
      </w:r>
    </w:p>
    <w:p w14:paraId="01B7781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会员进行实物交割</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应按规定向交易所交纳交割手续费。具体标准在各品种期货业务细则中载明。</w:t>
      </w:r>
    </w:p>
    <w:p w14:paraId="76872C3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交割手续费从会员的结算准备金中扣划。</w:t>
      </w:r>
    </w:p>
    <w:p w14:paraId="3AB7878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割结算价为该期货合约交割结算的基准价。滚动交割的交割结算价采用该期货合约滚动交割配对日的当日结算价。一次性交割的交割结算价采用该期货合约自交割月第一个交易日起至最后交易日所有成交价格的加权平均价；鸡蛋、乙二醇、苯乙烯、液化石油气等品种期货业务细则对一次性交割的交割结算价另有规定的，适用其规定。期转现结算价采用买卖双方协议价格。提货单交割的交割结算价采用该期货合约提货单交割配对日的当日结算价。全月每日选择交割的交割结算价采用该期货合约全月每日选择交割配对日的当日结算价。</w:t>
      </w:r>
    </w:p>
    <w:p w14:paraId="2DD83A1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保税交割的交割结算价见《大连商品交易所交割管理办法》和实行保税交割相关品种期货业务细则的有关规定。</w:t>
      </w:r>
    </w:p>
    <w:p w14:paraId="5B384BB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交割货款按交割结算价加上非基准交割仓库与基准交割仓库的升贴水结算，交易所另有规定的，适用其规定。</w:t>
      </w:r>
    </w:p>
    <w:p w14:paraId="19BE2F8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交割违约按照《大连商品交易所交割管理办法》相关规定执行。</w:t>
      </w:r>
    </w:p>
    <w:p w14:paraId="303346A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发票或者交易所认可的其他单据由交割的卖方客户向相对应的买方客户开具，并由双方会员转交、领取并协助核实，交易所根据双方会员确认结果结清相应的余款。铁矿石等品种期货业务细则对发票开具方式另有规定的，适用其规定。</w:t>
      </w:r>
    </w:p>
    <w:p w14:paraId="3A298BD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各品种应当开具的发票类型或者交易所认可的其他单据见相应品种期货业务细则。</w:t>
      </w:r>
    </w:p>
    <w:p w14:paraId="66E6B2E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卖方会员未在规定时间提交增值税专用（普通）发票的，自应交而未交增值税专用（普通）发票次日起，交易所向卖方会员按货款金额每日</w:t>
      </w:r>
      <w:r w:rsidRPr="00726163">
        <w:rPr>
          <w:rFonts w:ascii="Times New Roman" w:eastAsia="仿宋_GB2312" w:hAnsi="Times New Roman"/>
          <w:color w:val="333333"/>
          <w:kern w:val="0"/>
          <w:sz w:val="32"/>
          <w:szCs w:val="32"/>
        </w:rPr>
        <w:t>0.5‰</w:t>
      </w:r>
      <w:r w:rsidRPr="00726163">
        <w:rPr>
          <w:rFonts w:ascii="Times New Roman" w:eastAsia="仿宋_GB2312" w:hAnsi="Times New Roman"/>
          <w:color w:val="333333"/>
          <w:kern w:val="0"/>
          <w:sz w:val="32"/>
          <w:szCs w:val="32"/>
        </w:rPr>
        <w:t>的比例收取滞纳金，补偿给买方会员；超过</w:t>
      </w:r>
      <w:r w:rsidRPr="00726163">
        <w:rPr>
          <w:rFonts w:ascii="Times New Roman" w:eastAsia="仿宋_GB2312" w:hAnsi="Times New Roman"/>
          <w:color w:val="333333"/>
          <w:kern w:val="0"/>
          <w:sz w:val="32"/>
          <w:szCs w:val="32"/>
        </w:rPr>
        <w:t>30</w:t>
      </w:r>
      <w:r w:rsidRPr="00726163">
        <w:rPr>
          <w:rFonts w:ascii="Times New Roman" w:eastAsia="仿宋_GB2312" w:hAnsi="Times New Roman"/>
          <w:color w:val="333333"/>
          <w:kern w:val="0"/>
          <w:sz w:val="32"/>
          <w:szCs w:val="32"/>
        </w:rPr>
        <w:t>个自然日，卖方会员仍未提交增值税专用（普通）发票的，视作不交增值税专用（普通）发票，交易所按国家税收政策规定计算的增值税税额收取赔偿金，与滞纳金一并补偿给买方会员。上述款项从该会员在交易所预留的交割货款金额中扣除，剩余货款属于卖方会员。买卖双方另有约定的，遵其约定。铁矿石等品种期货业务细则另有规定的，适用其规定。</w:t>
      </w:r>
    </w:p>
    <w:p w14:paraId="3B698B0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一次性交割的结算业务按以下规定办理：</w:t>
      </w:r>
    </w:p>
    <w:p w14:paraId="5B06655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号、鸡蛋等品种期货业务细则对交割保证金清退另有规定的，适用其规定；</w:t>
      </w:r>
    </w:p>
    <w:p w14:paraId="1F6B0C2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（二）最后交易日结算时，交易所对会员该交割月份持仓按交割结算价进行结算处理，产生的盈亏计入当日平仓盈亏；</w:t>
      </w:r>
    </w:p>
    <w:p w14:paraId="68BF1C6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（三）最后交易日结算时，交易所从会员的结算准备金中扣划交割手续费；</w:t>
      </w:r>
    </w:p>
    <w:p w14:paraId="06B241A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（四）最后交易日后第</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个交易日闭市前，卖方会员应当将与其交割月份卖持仓相对应的全部标准仓单交到交易所；</w:t>
      </w:r>
    </w:p>
    <w:p w14:paraId="7F8DD5D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（五）最后交割日闭市前，买方会员应当将与其交割月份买持仓相对应的货款与交割预付款的差额部分划入交易所的专用结算账户；</w:t>
      </w:r>
    </w:p>
    <w:p w14:paraId="7F51BD6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（六）在规定时间内，卖方会员未能如数交付标准仓单，买方会员未能如数解付货款的，构成交割违约；</w:t>
      </w:r>
    </w:p>
    <w:p w14:paraId="7DDCBF1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（七）最后交割日闭市后，交易所将卖方会员提交的标准仓单交付给买方会员，将货款的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付给卖方会员，余款在卖方会员提交了发票后结清，黄大豆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号、铁矿石和鸡蛋等品种期货业务细则对货款支付另有规定的，适用其规定；</w:t>
      </w:r>
    </w:p>
    <w:p w14:paraId="189C7E2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（八）配对日后</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个交易日内，买方会员应按税务机关的规定将开具发票的具体事项，包括购货单位名称、购货单位地址、金额、纳税人登记号等信息通知卖方会员；交收标的为保税铁矿石的除外。</w:t>
      </w:r>
    </w:p>
    <w:p w14:paraId="46A03DB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（九）配对日后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个交易日内，卖方会员应当将发票交付买方会员，黄大豆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号、铁矿石和鸡蛋等品种期货业务细则对发票交付另有规定的，适用其规定。</w:t>
      </w:r>
    </w:p>
    <w:p w14:paraId="0C6C5B0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滚动交割的结算业务按以下规定办理：</w:t>
      </w:r>
    </w:p>
    <w:p w14:paraId="33EC718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（一）配对日闭市后，买方会员配对买持仓的交易保证金转为交割预付款；</w:t>
      </w:r>
    </w:p>
    <w:p w14:paraId="10CB65E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（二）配对日结算时，交易所对会员该交割月份持仓按交割结算价进行结算处理，产生的盈亏计入当日平仓盈亏；</w:t>
      </w:r>
    </w:p>
    <w:p w14:paraId="6610914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（三）配对日结算时，交易所从会员的结算准备金中扣划交割手续费；</w:t>
      </w:r>
    </w:p>
    <w:p w14:paraId="24A131A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（四）交收日闭市前，买方会员须将与其交割买持仓相对应的货款与交割预付款的差额部分划入交易所的专用结算账户；</w:t>
      </w:r>
    </w:p>
    <w:p w14:paraId="56FA684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（五）交收日闭市时，买方会员未能如数解付货款的，构成交割违约；</w:t>
      </w:r>
    </w:p>
    <w:p w14:paraId="5F7F1D6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（六）交收日闭市后，交易所将卖方会员提交的标准仓单交付买方会员，将货款的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付给卖方会员，余款在卖方会员提交了增值税专用发票后结清；</w:t>
      </w:r>
    </w:p>
    <w:p w14:paraId="2A978EF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（七）配对日后</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个交易日内，买方会员应按税务机关的规定将开具增值税专用发票的具体事项，如购货单位名称、购货单位地址、纳税人登记号、金额等信息通知卖方会员；</w:t>
      </w:r>
    </w:p>
    <w:p w14:paraId="1354B3C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（八）配对日后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个交易日内，卖方会员向买方会员提交增值税专用发票。</w:t>
      </w:r>
    </w:p>
    <w:p w14:paraId="3381EAE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期转现的结算业务按以下规定办理：</w:t>
      </w:r>
    </w:p>
    <w:p w14:paraId="1A1C90C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（一）标准仓单期转现的仓单交收和货款支付由交易所负责办理；</w:t>
      </w:r>
    </w:p>
    <w:p w14:paraId="54EC0B3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（二）非标准仓单期转现的货物交收和货款收付通过交易双方自行办理的，由交易双方自行协商确定；货款收付委托交易所办理的，由交易所代为收付货款，交易所不负责非标准仓单的交收；</w:t>
      </w:r>
    </w:p>
    <w:p w14:paraId="7E77621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（三）期转现批准日结算时，交易所将交易双方的期转现持仓按协议价格进行结算处理，产生的盈亏计入当日平仓盈亏；</w:t>
      </w:r>
    </w:p>
    <w:p w14:paraId="44FC25F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（四）期转现批准日结算时，交易所从会员结算准备金中扣划期转现手续费，标准仓单的期转现手续费按该品种交割手续费标准收取，非标准仓单的期转现手续费按该品种交易手续费标准收取。黄大豆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号等品种期货业务细则对手续费收取另有规定的，适用其规定；</w:t>
      </w:r>
    </w:p>
    <w:p w14:paraId="184A35F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（五）期转现批准日</w:t>
      </w:r>
      <w:r w:rsidRPr="00726163">
        <w:rPr>
          <w:rFonts w:ascii="Times New Roman" w:eastAsia="仿宋_GB2312" w:hAnsi="Times New Roman"/>
          <w:color w:val="333333"/>
          <w:kern w:val="0"/>
          <w:sz w:val="32"/>
          <w:szCs w:val="32"/>
        </w:rPr>
        <w:t>11:30</w:t>
      </w:r>
      <w:r w:rsidRPr="00726163">
        <w:rPr>
          <w:rFonts w:ascii="Times New Roman" w:eastAsia="仿宋_GB2312" w:hAnsi="Times New Roman"/>
          <w:color w:val="333333"/>
          <w:kern w:val="0"/>
          <w:sz w:val="32"/>
          <w:szCs w:val="32"/>
        </w:rPr>
        <w:t>前，买方会员将全额货款划入交易所的专用结算账户，标准仓单期转现的卖方会员将相应数量的标准仓单交到交易所；</w:t>
      </w:r>
    </w:p>
    <w:p w14:paraId="7204795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（六）期转现批准日闭市后，交易所将货款的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付给卖方会员，余款在卖方会员提交了发票后结清，铁矿石等品种期货业务细则对保税期转现货款支付另有规定的，适用其规定；对于标准仓单期转现，交易所还应当将卖方会员提交的标准仓单交付买方会员；</w:t>
      </w:r>
    </w:p>
    <w:p w14:paraId="30B055E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（七）期转现批准日后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个交易日内，卖方会员应向买方会员提交发票；铁矿石等品种期货业务细则对保税期转现发票交付另有规定的，适用其规定。</w:t>
      </w:r>
    </w:p>
    <w:p w14:paraId="77DB46A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标准仓单转让的货款收付业务按以下规定办理：</w:t>
      </w:r>
    </w:p>
    <w:p w14:paraId="3232F53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（一）标准仓单转让的货款收付，交易双方可以自行办理，也可以委托交易所办理。委托交易所办理的，交易双方应当通过会员向交易所提交委托申请；</w:t>
      </w:r>
    </w:p>
    <w:p w14:paraId="67F6632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（二）委托交易所收付货款的，交易双方应当在标准仓单转让申请中提交委托申请；当日闭市前提交委托申请的，货款收付于当日处理；闭市后提交委托申请的，货款收付于下一交易日处理；</w:t>
      </w:r>
    </w:p>
    <w:p w14:paraId="724681A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（三）处理日当日闭市前，买方会员应当将全额货款划入交易所的专用结算账户，卖方会员应当将相应数量的标准仓单交到交易所；</w:t>
      </w:r>
    </w:p>
    <w:p w14:paraId="15E9674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（四）处理日当日闭市时，卖方会员未能如数交付标准仓单，买方会员未能如数解付货款的，视为放弃标准仓单转让申请；</w:t>
      </w:r>
    </w:p>
    <w:p w14:paraId="362C90E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（五）处理日当日闭市后，交易所将标准仓单交付买方会员，将货款的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付给卖方会员，余款在卖方会员提交了增值税专用发票后结清；</w:t>
      </w:r>
    </w:p>
    <w:p w14:paraId="66C07E0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（六）标准仓单转让日后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个交易日内，卖方会员应当向买方会员提交增值税专用发票。</w:t>
      </w:r>
    </w:p>
    <w:p w14:paraId="01B0D48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铁矿石等品种期货业务细则对保税标准仓单转让的货款收付业务有规定的，按照其规定执行。</w:t>
      </w:r>
    </w:p>
    <w:p w14:paraId="77D4FE2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对于两个或两个以上标准仓单转让申请，交易双方互负标准仓单转让义务的，根据双方约定并确认，交易所可以在处理日闭市前办理仓单过户和差额货款收付业务。</w:t>
      </w:r>
    </w:p>
    <w:p w14:paraId="4127EFB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提货单交割的结算业务按以下规定办理：</w:t>
      </w:r>
    </w:p>
    <w:p w14:paraId="342461D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（一）配对日闭市后，买方会员配对买持仓的交易保证金转为交割预付款；卖方会员配对卖持仓的交易保证金转为交割保证金；</w:t>
      </w:r>
    </w:p>
    <w:p w14:paraId="72CAB34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（二）配对日结算时，交易所对会员申请交割的持仓按交割结算价进行结算处理，产生的盈亏计入当日平仓盈亏；</w:t>
      </w:r>
    </w:p>
    <w:p w14:paraId="654C5E6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（三）配对日结算时，交易所从会员的结算准备金中扣划交割手续费；</w:t>
      </w:r>
    </w:p>
    <w:p w14:paraId="3DCF0E8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（四）通知日后第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个自然日不是交易日的，顺延至下一个交易日）闭市前，买方会员的交割预付款和卖方会员的交割保证金应按配对合约价值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补足。闭市后，交易所从相应会员的结算准备金中划转。</w:t>
      </w:r>
    </w:p>
    <w:p w14:paraId="4B6E35B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最后通知日后第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个自然日不是交易日的，顺延至下一个交易日）闭市前，参与提货单交割的所有买方会员的交割预付款和所有卖方会员的交割保证金应按配对合约价值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补足。闭市后，交易所从相应会员的结算准备金中划转。</w:t>
      </w:r>
    </w:p>
    <w:p w14:paraId="5E0F053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（五）交收日闭市前，买方会员须将交割买持仓相对应的货款（包括溢短款和升贴水）与交割预付款的差额部分划入交易所的专用结算账户；</w:t>
      </w:r>
    </w:p>
    <w:p w14:paraId="014906F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（六）交收日闭市后，交易所释放卖方会员交割保证金，交收标的为完税商品的，交易所将全额货款的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划转给卖方会员，余款在卖方会员提交了增值税专用发票后结清；交收标的为保税商品的，交易所将保税交割货款划转给卖方会员。</w:t>
      </w:r>
    </w:p>
    <w:p w14:paraId="699D441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14:paraId="5149103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（八）交收标的为完税商品的，交收日后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个交易日内，卖方会员向买方会员提交增值税专用发票；交收标的为保税商品的，卖方会员应当在交收日闭市前向交易所提交增值税普通发票。</w:t>
      </w:r>
    </w:p>
    <w:p w14:paraId="7AFF598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全月每日选择交割的结算业务按以下规定办理：</w:t>
      </w:r>
    </w:p>
    <w:p w14:paraId="311A8A8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（一）配对日闭市后，买方会员配对买持仓的交易保证金转为交割预付款；卖方会员配对卖持仓的交易保证金转为交割保证金；</w:t>
      </w:r>
    </w:p>
    <w:p w14:paraId="62421C7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（二）配对日结算时，交易所对会员该交割月份持仓按交割结算价进行结算处理，产生的盈亏计入当日平仓盈亏；</w:t>
      </w:r>
    </w:p>
    <w:p w14:paraId="1D4AC18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（三）配对日结算时，交易所从会员的结算准备金中扣划交割手续费；</w:t>
      </w:r>
    </w:p>
    <w:p w14:paraId="57EEDF4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（四）交收日闭市前，买方会员应当将与其交割买持仓相对应的货款（包括非基准交割仓库与基准交割仓库的升贴水或指定车板交割场所升贴水）与交割预付款的差额部分划入交易所的专用结算账户；</w:t>
      </w:r>
    </w:p>
    <w:p w14:paraId="01F9CB4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（五）交收日闭市时，买方会员未能如数解付货款的，构成交割违约；</w:t>
      </w:r>
    </w:p>
    <w:p w14:paraId="66F8BDC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（六）交收日闭市后，交易所将卖方会员提交的标准仓单交付给买方会员；交易所向卖方会员支付货款等规定见相关品种期货业务细则；</w:t>
      </w:r>
    </w:p>
    <w:p w14:paraId="6F96859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（七）配对日后</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个交易日内，买方会员应按税务机关的规定将开具增值税普通发票的具体事项，如购货单位名称、购货单位地址、纳税人登记号、金额等信息通知卖方会员；</w:t>
      </w:r>
    </w:p>
    <w:p w14:paraId="7C8EF49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（八）交易所支付</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货款后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个交易日内，卖方会员应当将实际交割货物相应的增值税普通发票交付买方会员。</w:t>
      </w:r>
    </w:p>
    <w:p w14:paraId="134990A2" w14:textId="77777777" w:rsidR="00726163" w:rsidRPr="003E3461" w:rsidRDefault="00726163" w:rsidP="003E3461">
      <w:pPr>
        <w:shd w:val="clear" w:color="auto" w:fill="FFFFFF"/>
        <w:jc w:val="center"/>
        <w:rPr>
          <w:rFonts w:ascii="黑体" w:eastAsia="黑体" w:hAnsi="黑体"/>
          <w:color w:val="333333"/>
          <w:kern w:val="0"/>
          <w:sz w:val="32"/>
          <w:szCs w:val="32"/>
        </w:rPr>
      </w:pPr>
      <w:r w:rsidRPr="003E3461">
        <w:rPr>
          <w:rFonts w:ascii="黑体" w:eastAsia="黑体" w:hAnsi="黑体"/>
          <w:color w:val="333333"/>
          <w:kern w:val="0"/>
          <w:sz w:val="32"/>
          <w:szCs w:val="32"/>
        </w:rPr>
        <w:t>第五章 作为保证金的资产</w:t>
      </w:r>
    </w:p>
    <w:p w14:paraId="083E599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经交易所批准，以下资产可以作为保证金：</w:t>
      </w:r>
    </w:p>
    <w:p w14:paraId="5B00AFCE" w14:textId="618EC02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003E3461">
        <w:rPr>
          <w:rFonts w:ascii="Times New Roman" w:eastAsia="仿宋_GB2312" w:hAnsi="Times New Roman" w:hint="eastAsia"/>
          <w:color w:val="333333"/>
          <w:kern w:val="0"/>
          <w:sz w:val="32"/>
          <w:szCs w:val="32"/>
        </w:rPr>
        <w:t>（一）</w:t>
      </w:r>
      <w:r w:rsidRPr="00726163">
        <w:rPr>
          <w:rFonts w:ascii="Times New Roman" w:eastAsia="仿宋_GB2312" w:hAnsi="Times New Roman"/>
          <w:color w:val="333333"/>
          <w:kern w:val="0"/>
          <w:sz w:val="32"/>
          <w:szCs w:val="32"/>
        </w:rPr>
        <w:t>除鸡蛋、黄大豆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号品种外的标准仓单；</w:t>
      </w:r>
    </w:p>
    <w:p w14:paraId="44654E86" w14:textId="193D9859"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003E3461">
        <w:rPr>
          <w:rFonts w:ascii="Times New Roman" w:eastAsia="仿宋_GB2312" w:hAnsi="Times New Roman" w:hint="eastAsia"/>
          <w:color w:val="333333"/>
          <w:kern w:val="0"/>
          <w:sz w:val="32"/>
          <w:szCs w:val="32"/>
        </w:rPr>
        <w:t>（二）</w:t>
      </w:r>
      <w:r w:rsidRPr="00726163">
        <w:rPr>
          <w:rFonts w:ascii="Times New Roman" w:eastAsia="仿宋_GB2312" w:hAnsi="Times New Roman"/>
          <w:color w:val="333333"/>
          <w:kern w:val="0"/>
          <w:sz w:val="32"/>
          <w:szCs w:val="32"/>
        </w:rPr>
        <w:t>可流通的国债；</w:t>
      </w:r>
    </w:p>
    <w:p w14:paraId="7D82389A" w14:textId="506A646D"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003E3461">
        <w:rPr>
          <w:rFonts w:ascii="Times New Roman" w:eastAsia="仿宋_GB2312" w:hAnsi="Times New Roman" w:hint="eastAsia"/>
          <w:color w:val="333333"/>
          <w:kern w:val="0"/>
          <w:sz w:val="32"/>
          <w:szCs w:val="32"/>
        </w:rPr>
        <w:t>（三）</w:t>
      </w:r>
      <w:r w:rsidRPr="00726163">
        <w:rPr>
          <w:rFonts w:ascii="Times New Roman" w:eastAsia="仿宋_GB2312" w:hAnsi="Times New Roman"/>
          <w:color w:val="333333"/>
          <w:kern w:val="0"/>
          <w:sz w:val="32"/>
          <w:szCs w:val="32"/>
        </w:rPr>
        <w:t>外汇资金（币种类别、折算方式和适用范围由交易所另行公布）；</w:t>
      </w:r>
    </w:p>
    <w:p w14:paraId="07C2688E" w14:textId="5C508B30"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003E3461">
        <w:rPr>
          <w:rFonts w:ascii="Times New Roman" w:eastAsia="仿宋_GB2312" w:hAnsi="Times New Roman" w:hint="eastAsia"/>
          <w:color w:val="333333"/>
          <w:kern w:val="0"/>
          <w:sz w:val="32"/>
          <w:szCs w:val="32"/>
        </w:rPr>
        <w:t>（四）</w:t>
      </w:r>
      <w:r w:rsidRPr="00726163">
        <w:rPr>
          <w:rFonts w:ascii="Times New Roman" w:eastAsia="仿宋_GB2312" w:hAnsi="Times New Roman"/>
          <w:color w:val="333333"/>
          <w:kern w:val="0"/>
          <w:sz w:val="32"/>
          <w:szCs w:val="32"/>
        </w:rPr>
        <w:t>交易所另行确定的其他有价证券等资产。</w:t>
      </w:r>
    </w:p>
    <w:p w14:paraId="4831C5C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以前款规定的有价证券作为保证金的，期限不得超过该有价证券的有效期限，并且作为保证金的金额单笔不得低于</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万元。</w:t>
      </w:r>
    </w:p>
    <w:p w14:paraId="387C89D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标准仓单作为保证金的，交易所以申请日前一交易日该标准仓单对应品种最近交割月份期货合约的结算价为基准计算价值。</w:t>
      </w:r>
    </w:p>
    <w:p w14:paraId="1CC0688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国债作为保证金的，交易所以申请日前一交易日该国债在上海证券交易所、深圳证券交易所较低的收盘价为基准计算价值。</w:t>
      </w:r>
    </w:p>
    <w:p w14:paraId="1C75D23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外汇资金或其他资产作为保证金的基准价由交易所核定。</w:t>
      </w:r>
    </w:p>
    <w:p w14:paraId="6F0E480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当作为保证金的有价证券的市值涨跌幅度超过</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（含本数）时，交易所可以对该笔有价证券基准价值作相应调整。</w:t>
      </w:r>
    </w:p>
    <w:p w14:paraId="11EEB37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实行保税交割相关品种期货业务细则对保税标准仓单作为保证金使用的基准计算价值另有规定的，适用其规定。</w:t>
      </w:r>
    </w:p>
    <w:p w14:paraId="0D671A8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有价证券作为保证金的金额不得高于以下标准中的较低值：</w:t>
      </w:r>
    </w:p>
    <w:p w14:paraId="47712EB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一</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有价证券基准计算价值的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％（折扣比率）；</w:t>
      </w:r>
    </w:p>
    <w:p w14:paraId="5C1915F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二</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会员在期货交易所专用结算账户中的实有货币资金的</w:t>
      </w:r>
      <w:r w:rsidRPr="00726163">
        <w:rPr>
          <w:rFonts w:ascii="Times New Roman" w:eastAsia="仿宋_GB2312" w:hAnsi="Times New Roman"/>
          <w:color w:val="333333"/>
          <w:kern w:val="0"/>
          <w:sz w:val="32"/>
          <w:szCs w:val="32"/>
        </w:rPr>
        <w:t>4</w:t>
      </w:r>
      <w:r w:rsidRPr="00726163">
        <w:rPr>
          <w:rFonts w:ascii="Times New Roman" w:eastAsia="仿宋_GB2312" w:hAnsi="Times New Roman"/>
          <w:color w:val="333333"/>
          <w:kern w:val="0"/>
          <w:sz w:val="32"/>
          <w:szCs w:val="32"/>
        </w:rPr>
        <w:t>倍（配比乘数）。</w:t>
      </w:r>
    </w:p>
    <w:p w14:paraId="496D750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交易所在每日结算时根据以上原则自动调整会员有价证券作为保证金的金额。</w:t>
      </w:r>
    </w:p>
    <w:p w14:paraId="072EAF5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交易所有权对作为保证金的资产的基准价、折扣比率、配比乘数进行调整，由交易所另行通知。</w:t>
      </w:r>
    </w:p>
    <w:p w14:paraId="250A29E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客户、境外经纪机构以资产作为保证金的，会员应当将收到的资产提交交易所；按照规定以外汇资金或者其他资产作为保证金的，视为授权交易所对相应资产进行划转或者作质押处理。</w:t>
      </w:r>
    </w:p>
    <w:p w14:paraId="11F62F5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标准仓单以外的有价证券作为保证金的，视为授权交易所委托托管机构对其申报账户内的对应有价证券进行划转或者质押登记处理。有价证券的划转、质押登记以及管理等相关业务按照托管机构有关规定办理。</w:t>
      </w:r>
    </w:p>
    <w:p w14:paraId="2C835E8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有价证券作为保证金的手续：</w:t>
      </w:r>
    </w:p>
    <w:p w14:paraId="46CDF17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（一）申请</w:t>
      </w:r>
    </w:p>
    <w:p w14:paraId="65B4C08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办理有价证券作为保证金业务时，须向交易所提出申请，经办人须提交单位法定代表人签发的《有价证券作为保证金专项授权书》。会员以客户的有价证券办理作为保证金业务时，应同时提交经客户签章的《客户专项授权书》。</w:t>
      </w:r>
    </w:p>
    <w:p w14:paraId="624A457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（二）验证交存</w:t>
      </w:r>
    </w:p>
    <w:p w14:paraId="5657EB4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办理标准仓单作为保证金的会员须在申请获交易所批准后办理标准仓单交存手续；其他有价证券的验证交存由交易所另行规定。</w:t>
      </w:r>
    </w:p>
    <w:p w14:paraId="05EAD99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（三）签订协议</w:t>
      </w:r>
    </w:p>
    <w:p w14:paraId="1DAA4FE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核算有价证券作为保证金金额后，会员与交易所签定《大连商品交易所有价证券作为保证金协议书》。</w:t>
      </w:r>
    </w:p>
    <w:p w14:paraId="29C8D0F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（四）会员也可以通过电子方式办理有价证券作为保证金业务。</w:t>
      </w:r>
    </w:p>
    <w:p w14:paraId="1804C74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外汇资金作为保证金的手续：</w:t>
      </w:r>
    </w:p>
    <w:p w14:paraId="0A5ECAB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办理外汇资金作为保证金业务时，应在每个交易日闭市之前以电子或书面方式向交易所提出外汇资金入金申请。交易所将于当日闭市前完成会员外汇资金作为保证金业务，会员在每个交易日闭市之后提出的书面外汇资金入金申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交易所将于下一交易日开市前完成会员外汇资金作为保证金业务。</w:t>
      </w:r>
    </w:p>
    <w:p w14:paraId="7192831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会员应在每个交易日</w:t>
      </w:r>
      <w:r w:rsidRPr="00726163">
        <w:rPr>
          <w:rFonts w:ascii="Times New Roman" w:eastAsia="仿宋_GB2312" w:hAnsi="Times New Roman"/>
          <w:color w:val="333333"/>
          <w:kern w:val="0"/>
          <w:sz w:val="32"/>
          <w:szCs w:val="32"/>
        </w:rPr>
        <w:t>15:10</w:t>
      </w:r>
      <w:r w:rsidRPr="00726163">
        <w:rPr>
          <w:rFonts w:ascii="Times New Roman" w:eastAsia="仿宋_GB2312" w:hAnsi="Times New Roman"/>
          <w:color w:val="333333"/>
          <w:kern w:val="0"/>
          <w:sz w:val="32"/>
          <w:szCs w:val="32"/>
        </w:rPr>
        <w:t>之前提出外汇资金出金申请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经交易所审核后</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于当日</w:t>
      </w:r>
      <w:r w:rsidRPr="00726163">
        <w:rPr>
          <w:rFonts w:ascii="Times New Roman" w:eastAsia="仿宋_GB2312" w:hAnsi="Times New Roman"/>
          <w:color w:val="333333"/>
          <w:kern w:val="0"/>
          <w:sz w:val="32"/>
          <w:szCs w:val="32"/>
        </w:rPr>
        <w:t>15:10</w:t>
      </w:r>
      <w:r w:rsidRPr="00726163">
        <w:rPr>
          <w:rFonts w:ascii="Times New Roman" w:eastAsia="仿宋_GB2312" w:hAnsi="Times New Roman"/>
          <w:color w:val="333333"/>
          <w:kern w:val="0"/>
          <w:sz w:val="32"/>
          <w:szCs w:val="32"/>
        </w:rPr>
        <w:t>后集中办理会员外汇资金划转。</w:t>
      </w:r>
    </w:p>
    <w:p w14:paraId="1CBD3D8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夜盘交易小节，交易所只受理外汇资金入金申请，不受理外汇资金出金申请、不办理外汇资金提取业务。</w:t>
      </w:r>
    </w:p>
    <w:p w14:paraId="22EDB12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会员提取外汇资金造成保证金不足的，不可办理提取手续。</w:t>
      </w:r>
    </w:p>
    <w:p w14:paraId="13B28BA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有价证券每次作为保证金的最长期限为</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个月。期满仍需作为保证金的，应当重新办理手续。</w:t>
      </w:r>
    </w:p>
    <w:p w14:paraId="43A42EA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出现下列情况之一的，交易所可以终止资产作为保证金协议并取消资产作为保证金的金额：</w:t>
      </w:r>
    </w:p>
    <w:p w14:paraId="0C9EA43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（一）办理资产作为保证金的会员提取和运用资金出现较大风险并有可能危及交易所合法权益的；</w:t>
      </w:r>
    </w:p>
    <w:p w14:paraId="3D0ED33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（二）作为保证金的资产出现瑕疵或者发生重大风险的；</w:t>
      </w:r>
    </w:p>
    <w:p w14:paraId="7CCA64E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（三）由于其他原因需要终止和取消的。</w:t>
      </w:r>
    </w:p>
    <w:p w14:paraId="7B8F113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有价证券作为保证金的，协议期内，会员可申请提前提取有价证券，但提取造成保证金不足的，应当在弥补应交保证金之后，方可解除协议，取回作为保证金的有价证券。</w:t>
      </w:r>
    </w:p>
    <w:p w14:paraId="3A95716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有价证券作为保证金的，协议期满，有价证券作为保证金已被清偿时，会员方可终止有价证券作为保证金的协议，取回作为保证金的有价证券。</w:t>
      </w:r>
    </w:p>
    <w:p w14:paraId="122D772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有价证券作为保证金的，协议期满，当会员以有价证券作为保证金不能清偿时，交易所有权按本办法和协议的有关规定依法将有价证券兑现或变现，用于清偿其作为保证金和相关债务。清偿后有余额的，将余额部分退还会员；兑现或变现金额不足以清偿其作为保证金和相关债务的，交易所有权向会员追索。</w:t>
      </w:r>
    </w:p>
    <w:p w14:paraId="754200F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办理资产作为保证金的，会员应当向交易所缴纳手续费，同时承担该资产在作为保证金期内发生的其他费用，如标准仓单对应的仓储费，需兑现或变现时发生的费用以及标准仓单以外的有价证券作为保证金业务中托管机构收取的有关费用。手续费由交易所按不高于中国人民银行公布的同期贷款利率计算并按月收取。具体计算金额和收费标准由交易所确定、调整并另行通知。</w:t>
      </w:r>
    </w:p>
    <w:p w14:paraId="002BFB1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当会员不履行或不能完全履行交易保证金债务时，交易所有权将该作为保证金的资产变现，从所得的款项中优先受偿交易保证金债务和相关交易债务。会员应当承担处置作为保证金的资产时产生的损失及费用。</w:t>
      </w:r>
    </w:p>
    <w:p w14:paraId="324C88D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夜盘交易小节，交易所不受理有价证券作为保证金相关业务申请、不办理相关业务。遇有特殊情况的，交易所可以延长受理有价证券等资产作为保证金相关业务申请的时间。</w:t>
      </w:r>
    </w:p>
    <w:p w14:paraId="3D2A274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按照交易所业务规则达成的交易即具有法律效力，不因交易者主体资格瑕疵、意思表示不真实或者保证金来源的权属争议而无效或者可变更可撤销，交易产生的损失由该交易者自行承担。</w:t>
      </w:r>
    </w:p>
    <w:p w14:paraId="1532879F" w14:textId="77777777" w:rsidR="00726163" w:rsidRPr="003E3461" w:rsidRDefault="00726163" w:rsidP="003E3461">
      <w:pPr>
        <w:shd w:val="clear" w:color="auto" w:fill="FFFFFF"/>
        <w:jc w:val="center"/>
        <w:rPr>
          <w:rFonts w:ascii="黑体" w:eastAsia="黑体" w:hAnsi="黑体"/>
          <w:color w:val="333333"/>
          <w:kern w:val="0"/>
          <w:sz w:val="32"/>
          <w:szCs w:val="32"/>
        </w:rPr>
      </w:pPr>
      <w:r w:rsidRPr="003E3461">
        <w:rPr>
          <w:rFonts w:ascii="黑体" w:eastAsia="黑体" w:hAnsi="黑体"/>
          <w:color w:val="333333"/>
          <w:kern w:val="0"/>
          <w:sz w:val="32"/>
          <w:szCs w:val="32"/>
        </w:rPr>
        <w:t>第六章 风险与责任</w:t>
      </w:r>
    </w:p>
    <w:p w14:paraId="4E899FA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会员应当履行其在交易所成交的合约相关义务和责任，承担相关风险。</w:t>
      </w:r>
    </w:p>
    <w:p w14:paraId="10BE88B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p>
    <w:p w14:paraId="788E723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会员进入破产程序，交易所仍可以按照交易规则及其实施细则，对该会员未了结的合约进行净额结算。</w:t>
      </w:r>
    </w:p>
    <w:p w14:paraId="0BBFD31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指定存管银行发生破产或者其他债权债务纠纷的，保证金不属于其破产财产，不属于冻结或者划拨的财产范围。</w:t>
      </w:r>
    </w:p>
    <w:p w14:paraId="5911D49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指定交割仓库发生破产或者其他债权债务纠纷的，期货市场参与者存放的非指定交割仓库所有的期货商品，不属于指定交割仓库的破产财产和查封、扣押的财产范围。</w:t>
      </w:r>
    </w:p>
    <w:p w14:paraId="1C16CB9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风险防范实行分级负责制。交易所防范会员的风险，会员防范其客户及境外经纪机构的风险。境外经纪机构防范其客户的风险。</w:t>
      </w:r>
    </w:p>
    <w:p w14:paraId="318DA5B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会员不能履行合约相关义务和责任时，交易所有权对其采取下列保障措施：</w:t>
      </w:r>
    </w:p>
    <w:p w14:paraId="221C38D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（一）动用会员的结算准备金；</w:t>
      </w:r>
    </w:p>
    <w:p w14:paraId="2FBDB9F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（二）暂停开仓交易；</w:t>
      </w:r>
    </w:p>
    <w:p w14:paraId="1C94307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（三）按规定强行平仓，直至用平仓后释放的保证金能够履行合约相关义务和责任为止；</w:t>
      </w:r>
    </w:p>
    <w:p w14:paraId="7C14291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（四）将交存的作为保证金的资产处置变现，用变现所得履行合约相关义务和责任。</w:t>
      </w:r>
    </w:p>
    <w:p w14:paraId="2C79F5E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如采取前条措施后会员仍欠资金，交易所将按以下步骤履行合约相关义务和责任：</w:t>
      </w:r>
    </w:p>
    <w:p w14:paraId="5DDAA95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（一）取消该会员资格，用该会员的会员资格费抵偿；</w:t>
      </w:r>
    </w:p>
    <w:p w14:paraId="289FE22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（二）动用风险准备金进行履约赔偿；</w:t>
      </w:r>
    </w:p>
    <w:p w14:paraId="18B2A5D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（三）动用交易所的自有资产进行履约赔偿。</w:t>
      </w:r>
    </w:p>
    <w:p w14:paraId="1890F62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交易所履行合约相关义务和责任后，通过法律程序对会员进行追偿。</w:t>
      </w:r>
    </w:p>
    <w:p w14:paraId="0C3F45B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交易所实行风险准备金制度。风险准备金是指由交易所设立，用于为维护期货市场正常运转提供财务担保和弥补因交易所不可预见风险带来的亏损的资金。</w:t>
      </w:r>
    </w:p>
    <w:p w14:paraId="7261CB9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风险准备金的来源：</w:t>
      </w:r>
    </w:p>
    <w:p w14:paraId="2CCBC7A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（一）交易所按向会员收取手续费收入</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的比例，从管理费用中提取；</w:t>
      </w:r>
    </w:p>
    <w:p w14:paraId="20B7383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（二）符合国家财政政策规定的其他收入。</w:t>
      </w:r>
    </w:p>
    <w:p w14:paraId="2FF595E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风险准备金应当单独核算，专户存储，除用于弥补风险损失外，不得挪作他用。</w:t>
      </w:r>
    </w:p>
    <w:p w14:paraId="7B85015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风险准备金的动用应当经交易所理事会批准，报告中国证监会后按规定的用途和程序进行。</w:t>
      </w:r>
    </w:p>
    <w:p w14:paraId="3891E79C" w14:textId="77777777" w:rsidR="00726163" w:rsidRPr="003E3461" w:rsidRDefault="00726163" w:rsidP="003E3461">
      <w:pPr>
        <w:shd w:val="clear" w:color="auto" w:fill="FFFFFF"/>
        <w:jc w:val="center"/>
        <w:rPr>
          <w:rFonts w:ascii="黑体" w:eastAsia="黑体" w:hAnsi="黑体"/>
          <w:color w:val="333333"/>
          <w:kern w:val="0"/>
          <w:sz w:val="32"/>
          <w:szCs w:val="32"/>
        </w:rPr>
      </w:pPr>
      <w:r w:rsidRPr="003E3461">
        <w:rPr>
          <w:rFonts w:ascii="黑体" w:eastAsia="黑体" w:hAnsi="黑体"/>
          <w:color w:val="333333"/>
          <w:kern w:val="0"/>
          <w:sz w:val="32"/>
          <w:szCs w:val="32"/>
        </w:rPr>
        <w:t>第七章 附则</w:t>
      </w:r>
    </w:p>
    <w:p w14:paraId="506F26B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本办法中所称时间均为北京时间，除本办法有明确的规定外，</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均指交易日。</w:t>
      </w:r>
    </w:p>
    <w:p w14:paraId="532CE23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违反本办法规定的，交易所按《大连商品交易所违规处理办法》的有关规定处理。</w:t>
      </w:r>
    </w:p>
    <w:p w14:paraId="7BEE55F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各品种期货业务细则有特别规定或者交易所对期权交易业务有特别规定的，适用其规定。</w:t>
      </w:r>
    </w:p>
    <w:p w14:paraId="0165526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第一百条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本办法解释权属于大连商品交易所。</w:t>
      </w:r>
    </w:p>
    <w:p w14:paraId="2717198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第一百零一条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本办法自公布之日起实施。</w:t>
      </w:r>
    </w:p>
    <w:p w14:paraId="3C3C11C9"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sectPr w:rsidR="00726163" w:rsidRPr="00726163">
          <w:pgSz w:w="11906" w:h="16838"/>
          <w:pgMar w:top="1440" w:right="1800" w:bottom="1440" w:left="1800" w:header="851" w:footer="992" w:gutter="0"/>
          <w:cols w:space="425"/>
          <w:docGrid w:type="lines" w:linePitch="312"/>
        </w:sectPr>
      </w:pPr>
    </w:p>
    <w:p w14:paraId="67833002" w14:textId="53E90B45" w:rsidR="00726163" w:rsidRPr="00726163" w:rsidRDefault="00726163" w:rsidP="003E3461">
      <w:pPr>
        <w:spacing w:line="580" w:lineRule="exact"/>
        <w:jc w:val="left"/>
        <w:rPr>
          <w:rFonts w:ascii="Times New Roman" w:eastAsia="仿宋_GB2312" w:hAnsi="Times New Roman"/>
          <w:sz w:val="32"/>
          <w:szCs w:val="32"/>
        </w:rPr>
      </w:pPr>
      <w:bookmarkStart w:id="0" w:name="_Hlk34655131"/>
      <w:r w:rsidRPr="00726163">
        <w:rPr>
          <w:rFonts w:ascii="Times New Roman" w:eastAsia="仿宋_GB2312" w:hAnsi="Times New Roman"/>
          <w:sz w:val="32"/>
          <w:szCs w:val="32"/>
        </w:rPr>
        <w:t>附件</w:t>
      </w:r>
      <w:r w:rsidRPr="00726163">
        <w:rPr>
          <w:rFonts w:ascii="Times New Roman" w:eastAsia="仿宋_GB2312" w:hAnsi="Times New Roman"/>
          <w:sz w:val="32"/>
          <w:szCs w:val="32"/>
        </w:rPr>
        <w:t>2</w:t>
      </w:r>
      <w:r w:rsidR="00B77B0D">
        <w:rPr>
          <w:rFonts w:ascii="Times New Roman" w:eastAsia="仿宋_GB2312" w:hAnsi="Times New Roman" w:hint="eastAsia"/>
          <w:sz w:val="32"/>
          <w:szCs w:val="32"/>
        </w:rPr>
        <w:t>：</w:t>
      </w:r>
    </w:p>
    <w:p w14:paraId="2ED5B91C" w14:textId="77777777" w:rsidR="00726163" w:rsidRPr="00726163" w:rsidRDefault="00726163" w:rsidP="003E3461">
      <w:pPr>
        <w:spacing w:line="580" w:lineRule="exact"/>
        <w:jc w:val="left"/>
        <w:rPr>
          <w:rFonts w:ascii="Times New Roman" w:eastAsia="仿宋_GB2312" w:hAnsi="Times New Roman"/>
          <w:sz w:val="32"/>
          <w:szCs w:val="32"/>
        </w:rPr>
      </w:pPr>
      <w:bookmarkStart w:id="1" w:name="_Hlk34655098"/>
    </w:p>
    <w:p w14:paraId="582B2EBA"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《大连商品交易所交割管理办法》</w:t>
      </w:r>
    </w:p>
    <w:p w14:paraId="0BAC8152"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修正案</w:t>
      </w:r>
    </w:p>
    <w:p w14:paraId="73E9E1E8"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6E8C672E"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rPr>
        <w:t>第六条</w:t>
      </w:r>
      <w:r w:rsidRPr="00726163">
        <w:rPr>
          <w:rFonts w:ascii="Times New Roman" w:eastAsia="仿宋_GB2312" w:hAnsi="Times New Roman"/>
          <w:color w:val="000000"/>
          <w:sz w:val="32"/>
          <w:szCs w:val="32"/>
        </w:rPr>
        <w:t xml:space="preserve"> </w:t>
      </w:r>
      <w:r w:rsidRPr="00726163">
        <w:rPr>
          <w:rFonts w:ascii="Times New Roman" w:eastAsia="仿宋_GB2312" w:hAnsi="Times New Roman"/>
          <w:color w:val="000000"/>
          <w:sz w:val="32"/>
          <w:szCs w:val="32"/>
        </w:rPr>
        <w:t>个人客户持仓和焦炭、焦煤、铁矿石、黄大豆</w:t>
      </w:r>
      <w:r w:rsidRPr="00726163">
        <w:rPr>
          <w:rFonts w:ascii="Times New Roman" w:eastAsia="仿宋_GB2312" w:hAnsi="Times New Roman"/>
          <w:color w:val="000000"/>
          <w:sz w:val="32"/>
          <w:szCs w:val="32"/>
        </w:rPr>
        <w:t>2</w:t>
      </w:r>
      <w:r w:rsidRPr="00726163">
        <w:rPr>
          <w:rFonts w:ascii="Times New Roman" w:eastAsia="仿宋_GB2312" w:hAnsi="Times New Roman"/>
          <w:color w:val="000000"/>
          <w:sz w:val="32"/>
          <w:szCs w:val="32"/>
        </w:rPr>
        <w:t>号非交割单位整数倍持仓不得交割，不具备苯乙烯</w:t>
      </w:r>
      <w:r w:rsidRPr="00726163">
        <w:rPr>
          <w:rFonts w:ascii="Times New Roman" w:eastAsia="仿宋_GB2312" w:hAnsi="Times New Roman"/>
          <w:color w:val="000000"/>
          <w:sz w:val="32"/>
          <w:szCs w:val="32"/>
          <w:shd w:val="pct15" w:color="auto" w:fill="FFFFFF"/>
        </w:rPr>
        <w:t>或液化石油气</w:t>
      </w:r>
      <w:r w:rsidRPr="00726163">
        <w:rPr>
          <w:rFonts w:ascii="Times New Roman" w:eastAsia="仿宋_GB2312" w:hAnsi="Times New Roman"/>
          <w:color w:val="000000"/>
          <w:sz w:val="32"/>
          <w:szCs w:val="32"/>
        </w:rPr>
        <w:t>生产、经营或使用资质的单位客户不得参与</w:t>
      </w:r>
      <w:r w:rsidRPr="00726163">
        <w:rPr>
          <w:rFonts w:ascii="Times New Roman" w:eastAsia="仿宋_GB2312" w:hAnsi="Times New Roman"/>
          <w:dstrike/>
          <w:color w:val="000000"/>
          <w:sz w:val="32"/>
          <w:szCs w:val="32"/>
        </w:rPr>
        <w:t>苯乙烯</w:t>
      </w:r>
      <w:r w:rsidRPr="00726163">
        <w:rPr>
          <w:rFonts w:ascii="Times New Roman" w:eastAsia="仿宋_GB2312" w:hAnsi="Times New Roman"/>
          <w:color w:val="000000"/>
          <w:sz w:val="32"/>
          <w:szCs w:val="32"/>
          <w:shd w:val="pct15" w:color="auto" w:fill="FFFFFF"/>
        </w:rPr>
        <w:t>相应品种</w:t>
      </w:r>
      <w:r w:rsidRPr="00726163">
        <w:rPr>
          <w:rFonts w:ascii="Times New Roman" w:eastAsia="仿宋_GB2312" w:hAnsi="Times New Roman"/>
          <w:color w:val="000000"/>
          <w:sz w:val="32"/>
          <w:szCs w:val="32"/>
        </w:rPr>
        <w:t>交割。</w:t>
      </w:r>
    </w:p>
    <w:p w14:paraId="1B5F511D"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自交割月份第一个交易日起，交易所对个人客户交割月份合约的持仓予以强行平仓。</w:t>
      </w:r>
    </w:p>
    <w:p w14:paraId="32B793B0"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对焦炭、焦煤、铁矿石、黄大豆</w:t>
      </w:r>
      <w:r w:rsidRPr="00726163">
        <w:rPr>
          <w:rFonts w:ascii="Times New Roman" w:eastAsia="仿宋_GB2312" w:hAnsi="Times New Roman"/>
          <w:color w:val="000000"/>
          <w:sz w:val="32"/>
          <w:szCs w:val="32"/>
        </w:rPr>
        <w:t>2</w:t>
      </w:r>
      <w:r w:rsidRPr="00726163">
        <w:rPr>
          <w:rFonts w:ascii="Times New Roman" w:eastAsia="仿宋_GB2312" w:hAnsi="Times New Roman"/>
          <w:color w:val="000000"/>
          <w:sz w:val="32"/>
          <w:szCs w:val="32"/>
        </w:rPr>
        <w:t>号、苯乙烯</w:t>
      </w:r>
      <w:r w:rsidRPr="00726163">
        <w:rPr>
          <w:rFonts w:ascii="Times New Roman" w:eastAsia="仿宋_GB2312" w:hAnsi="Times New Roman"/>
          <w:color w:val="000000"/>
          <w:sz w:val="32"/>
          <w:szCs w:val="32"/>
          <w:shd w:val="pct15" w:color="auto" w:fill="FFFFFF"/>
        </w:rPr>
        <w:t>、液化石油气</w:t>
      </w:r>
      <w:r w:rsidRPr="00726163">
        <w:rPr>
          <w:rFonts w:ascii="Times New Roman" w:eastAsia="仿宋_GB2312" w:hAnsi="Times New Roman"/>
          <w:color w:val="000000"/>
          <w:sz w:val="32"/>
          <w:szCs w:val="32"/>
        </w:rPr>
        <w:t>以外品种合约，最后交易日收市后，个人客户交割月份合约的持仓仍未能平仓的，首先由会员代为履约，会员仍未能履约的，则按照本办法第九章有关规定进行处理。</w:t>
      </w:r>
    </w:p>
    <w:p w14:paraId="47A98BB9"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对焦炭、焦煤、铁矿石、黄大豆</w:t>
      </w:r>
      <w:r w:rsidRPr="00726163">
        <w:rPr>
          <w:rFonts w:ascii="Times New Roman" w:eastAsia="仿宋_GB2312" w:hAnsi="Times New Roman"/>
          <w:color w:val="000000"/>
          <w:sz w:val="32"/>
          <w:szCs w:val="32"/>
        </w:rPr>
        <w:t>2</w:t>
      </w:r>
      <w:r w:rsidRPr="00726163">
        <w:rPr>
          <w:rFonts w:ascii="Times New Roman" w:eastAsia="仿宋_GB2312" w:hAnsi="Times New Roman"/>
          <w:color w:val="000000"/>
          <w:sz w:val="32"/>
          <w:szCs w:val="32"/>
        </w:rPr>
        <w:t>号、苯乙烯</w:t>
      </w:r>
      <w:r w:rsidRPr="00726163">
        <w:rPr>
          <w:rFonts w:ascii="Times New Roman" w:eastAsia="仿宋_GB2312" w:hAnsi="Times New Roman"/>
          <w:color w:val="000000"/>
          <w:sz w:val="32"/>
          <w:szCs w:val="32"/>
          <w:shd w:val="pct15" w:color="auto" w:fill="FFFFFF"/>
        </w:rPr>
        <w:t>、液化石油气</w:t>
      </w:r>
      <w:r w:rsidRPr="00726163">
        <w:rPr>
          <w:rFonts w:ascii="Times New Roman" w:eastAsia="仿宋_GB2312" w:hAnsi="Times New Roman"/>
          <w:color w:val="000000"/>
          <w:sz w:val="32"/>
          <w:szCs w:val="32"/>
        </w:rPr>
        <w:t>合约，最后交易日收市后，个人客户交割月份合约的持仓和非交割单位整数倍持仓仍未能平仓的，由交易所按照</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不允许交割持仓优先，含有时间最短持仓的交割单位整数倍持仓优先</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原则，选择对手方持仓对冲平仓，平仓价格为该合约交割结算价，并对客户持有的不允许交割持仓部分处以按交割结算价计算合约价值</w:t>
      </w:r>
      <w:r w:rsidRPr="00726163">
        <w:rPr>
          <w:rFonts w:ascii="Times New Roman" w:eastAsia="仿宋_GB2312" w:hAnsi="Times New Roman"/>
          <w:color w:val="000000"/>
          <w:sz w:val="32"/>
          <w:szCs w:val="32"/>
        </w:rPr>
        <w:t>20</w:t>
      </w:r>
      <w:r w:rsidRPr="00726163">
        <w:rPr>
          <w:rFonts w:ascii="Times New Roman" w:eastAsia="仿宋_GB2312" w:hAnsi="Times New Roman"/>
          <w:color w:val="000000"/>
          <w:sz w:val="32"/>
          <w:szCs w:val="32"/>
        </w:rPr>
        <w:t>％的罚款，该款项支付给对方。若对冲双方均为持有不允许交割持仓的客户，交易所对双方分别处以按交割结算价计算合约价值</w:t>
      </w:r>
      <w:r w:rsidRPr="00726163">
        <w:rPr>
          <w:rFonts w:ascii="Times New Roman" w:eastAsia="仿宋_GB2312" w:hAnsi="Times New Roman"/>
          <w:color w:val="000000"/>
          <w:sz w:val="32"/>
          <w:szCs w:val="32"/>
        </w:rPr>
        <w:t>20</w:t>
      </w:r>
      <w:r w:rsidRPr="00726163">
        <w:rPr>
          <w:rFonts w:ascii="Times New Roman" w:eastAsia="仿宋_GB2312" w:hAnsi="Times New Roman"/>
          <w:color w:val="000000"/>
          <w:sz w:val="32"/>
          <w:szCs w:val="32"/>
        </w:rPr>
        <w:t>％的罚款，不再支付给对方。</w:t>
      </w:r>
    </w:p>
    <w:p w14:paraId="4E62084E"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对于苯乙烯</w:t>
      </w:r>
      <w:r w:rsidRPr="00726163">
        <w:rPr>
          <w:rFonts w:ascii="Times New Roman" w:eastAsia="仿宋_GB2312" w:hAnsi="Times New Roman"/>
          <w:color w:val="000000"/>
          <w:sz w:val="32"/>
          <w:szCs w:val="32"/>
          <w:shd w:val="pct15" w:color="auto" w:fill="FFFFFF"/>
        </w:rPr>
        <w:t>、液化石油气</w:t>
      </w:r>
      <w:r w:rsidRPr="00726163">
        <w:rPr>
          <w:rFonts w:ascii="Times New Roman" w:eastAsia="仿宋_GB2312" w:hAnsi="Times New Roman"/>
          <w:color w:val="000000"/>
          <w:sz w:val="32"/>
          <w:szCs w:val="32"/>
        </w:rPr>
        <w:t>合约，不具备</w:t>
      </w:r>
      <w:r w:rsidRPr="00726163">
        <w:rPr>
          <w:rFonts w:ascii="Times New Roman" w:eastAsia="仿宋_GB2312" w:hAnsi="Times New Roman"/>
          <w:dstrike/>
          <w:color w:val="000000"/>
          <w:sz w:val="32"/>
          <w:szCs w:val="32"/>
        </w:rPr>
        <w:t>苯乙烯</w:t>
      </w:r>
      <w:r w:rsidRPr="00726163">
        <w:rPr>
          <w:rFonts w:ascii="Times New Roman" w:eastAsia="仿宋_GB2312" w:hAnsi="Times New Roman"/>
          <w:color w:val="000000"/>
          <w:sz w:val="32"/>
          <w:szCs w:val="32"/>
          <w:shd w:val="pct15" w:color="auto" w:fill="FFFFFF"/>
        </w:rPr>
        <w:t>相应品种</w:t>
      </w:r>
      <w:r w:rsidRPr="00726163">
        <w:rPr>
          <w:rFonts w:ascii="Times New Roman" w:eastAsia="仿宋_GB2312" w:hAnsi="Times New Roman"/>
          <w:color w:val="000000"/>
          <w:sz w:val="32"/>
          <w:szCs w:val="32"/>
        </w:rPr>
        <w:t>生产、经营或使用资质的单位客户持仓在</w:t>
      </w:r>
      <w:r w:rsidRPr="00726163">
        <w:rPr>
          <w:rFonts w:ascii="Times New Roman" w:eastAsia="仿宋_GB2312" w:hAnsi="Times New Roman"/>
          <w:kern w:val="0"/>
          <w:sz w:val="32"/>
          <w:szCs w:val="32"/>
        </w:rPr>
        <w:t>滚动交割、一次性交割流程下</w:t>
      </w:r>
      <w:r w:rsidRPr="00726163">
        <w:rPr>
          <w:rFonts w:ascii="Times New Roman" w:eastAsia="仿宋_GB2312" w:hAnsi="Times New Roman"/>
          <w:color w:val="000000"/>
          <w:kern w:val="0"/>
          <w:sz w:val="32"/>
          <w:szCs w:val="32"/>
        </w:rPr>
        <w:t>被配对的，交易所在交收日闭市后对其处以按交割结算价计算合约价值</w:t>
      </w:r>
      <w:r w:rsidRPr="00726163">
        <w:rPr>
          <w:rFonts w:ascii="Times New Roman" w:eastAsia="仿宋_GB2312" w:hAnsi="Times New Roman"/>
          <w:color w:val="000000"/>
          <w:sz w:val="32"/>
          <w:szCs w:val="32"/>
        </w:rPr>
        <w:t>20%</w:t>
      </w:r>
      <w:r w:rsidRPr="00726163">
        <w:rPr>
          <w:rFonts w:ascii="Times New Roman" w:eastAsia="仿宋_GB2312" w:hAnsi="Times New Roman"/>
          <w:color w:val="000000"/>
          <w:sz w:val="32"/>
          <w:szCs w:val="32"/>
        </w:rPr>
        <w:t>的罚款，该款项支付给对方。若配对双方均为不得交割的客户，交易所对双方分别处以按交割结算价计算合约价值</w:t>
      </w:r>
      <w:r w:rsidRPr="00726163">
        <w:rPr>
          <w:rFonts w:ascii="Times New Roman" w:eastAsia="仿宋_GB2312" w:hAnsi="Times New Roman"/>
          <w:color w:val="000000"/>
          <w:sz w:val="32"/>
          <w:szCs w:val="32"/>
        </w:rPr>
        <w:t>20</w:t>
      </w:r>
      <w:r w:rsidRPr="00726163">
        <w:rPr>
          <w:rFonts w:ascii="Times New Roman" w:eastAsia="仿宋_GB2312" w:hAnsi="Times New Roman"/>
          <w:color w:val="000000"/>
          <w:sz w:val="32"/>
          <w:szCs w:val="32"/>
        </w:rPr>
        <w:t>％的罚款，不再支付给对方。</w:t>
      </w:r>
    </w:p>
    <w:p w14:paraId="21E578D9"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第十一条</w:t>
      </w:r>
      <w:r w:rsidRPr="00726163">
        <w:rPr>
          <w:rFonts w:ascii="Times New Roman" w:eastAsia="仿宋_GB2312" w:hAnsi="Times New Roman"/>
          <w:color w:val="000000"/>
          <w:sz w:val="32"/>
          <w:szCs w:val="32"/>
        </w:rPr>
        <w:t xml:space="preserve"> </w:t>
      </w:r>
      <w:r w:rsidRPr="00726163">
        <w:rPr>
          <w:rFonts w:ascii="Times New Roman" w:eastAsia="仿宋_GB2312" w:hAnsi="Times New Roman"/>
          <w:color w:val="000000"/>
          <w:sz w:val="32"/>
          <w:szCs w:val="32"/>
        </w:rPr>
        <w:t>交易双方达成现货买卖协议后，应向交易所提交下述材料：</w:t>
      </w:r>
    </w:p>
    <w:p w14:paraId="7B59CE82"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（一）期转现申请；</w:t>
      </w:r>
    </w:p>
    <w:p w14:paraId="3F543B7A"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（二）现货买卖协议；</w:t>
      </w:r>
    </w:p>
    <w:p w14:paraId="1D7A80AD"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（三）相关的货款证明；</w:t>
      </w:r>
    </w:p>
    <w:p w14:paraId="7FA74004"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（四）相关的标准仓单、入库单、存货单等货物持有证明。</w:t>
      </w:r>
    </w:p>
    <w:p w14:paraId="4E4FCB1E"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黄大豆</w:t>
      </w:r>
      <w:r w:rsidRPr="00726163">
        <w:rPr>
          <w:rFonts w:ascii="Times New Roman" w:eastAsia="仿宋_GB2312" w:hAnsi="Times New Roman"/>
          <w:color w:val="000000"/>
          <w:sz w:val="32"/>
          <w:szCs w:val="32"/>
        </w:rPr>
        <w:t>2</w:t>
      </w:r>
      <w:r w:rsidRPr="00726163">
        <w:rPr>
          <w:rFonts w:ascii="Times New Roman" w:eastAsia="仿宋_GB2312" w:hAnsi="Times New Roman"/>
          <w:color w:val="000000"/>
          <w:sz w:val="32"/>
          <w:szCs w:val="32"/>
        </w:rPr>
        <w:t>号、苯乙烯</w:t>
      </w:r>
      <w:r w:rsidRPr="00726163">
        <w:rPr>
          <w:rFonts w:ascii="Times New Roman" w:eastAsia="仿宋_GB2312" w:hAnsi="Times New Roman"/>
          <w:color w:val="000000"/>
          <w:sz w:val="32"/>
          <w:szCs w:val="32"/>
          <w:shd w:val="pct15" w:color="auto" w:fill="FFFFFF"/>
        </w:rPr>
        <w:t>、液化石油气</w:t>
      </w:r>
      <w:r w:rsidRPr="00726163">
        <w:rPr>
          <w:rFonts w:ascii="Times New Roman" w:eastAsia="仿宋_GB2312" w:hAnsi="Times New Roman"/>
          <w:color w:val="000000"/>
          <w:sz w:val="32"/>
          <w:szCs w:val="32"/>
        </w:rPr>
        <w:t>等品种期货业务细则对期转现申请材料另有规定的，适用其规定。</w:t>
      </w:r>
    </w:p>
    <w:p w14:paraId="66302CDD" w14:textId="77777777" w:rsidR="00726163" w:rsidRPr="00726163" w:rsidRDefault="00726163" w:rsidP="003E3461">
      <w:pPr>
        <w:shd w:val="clear" w:color="auto" w:fill="FFFFFF"/>
        <w:spacing w:line="480" w:lineRule="auto"/>
        <w:rPr>
          <w:rFonts w:ascii="Times New Roman" w:eastAsia="仿宋_GB2312" w:hAnsi="Times New Roman"/>
          <w:color w:val="000000"/>
          <w:sz w:val="32"/>
          <w:szCs w:val="32"/>
        </w:rPr>
      </w:pPr>
      <w:r w:rsidRPr="00726163">
        <w:rPr>
          <w:rFonts w:ascii="Times New Roman" w:eastAsia="仿宋_GB2312" w:hAnsi="Times New Roman"/>
          <w:color w:val="333333"/>
          <w:kern w:val="0"/>
          <w:sz w:val="32"/>
          <w:szCs w:val="32"/>
          <w:lang w:val="en-GB"/>
        </w:rPr>
        <w:t xml:space="preserve">　</w:t>
      </w:r>
      <w:r w:rsidRPr="00726163">
        <w:rPr>
          <w:rFonts w:ascii="Times New Roman" w:eastAsia="仿宋_GB2312" w:hAnsi="Times New Roman"/>
          <w:color w:val="000000"/>
          <w:sz w:val="32"/>
          <w:szCs w:val="32"/>
        </w:rPr>
        <w:t xml:space="preserve">　第三十九条</w:t>
      </w:r>
      <w:r w:rsidRPr="00726163">
        <w:rPr>
          <w:rFonts w:ascii="Times New Roman" w:eastAsia="仿宋_GB2312" w:hAnsi="Times New Roman"/>
          <w:color w:val="000000"/>
          <w:sz w:val="32"/>
          <w:szCs w:val="32"/>
        </w:rPr>
        <w:t xml:space="preserve"> </w:t>
      </w:r>
      <w:r w:rsidRPr="00726163">
        <w:rPr>
          <w:rFonts w:ascii="Times New Roman" w:eastAsia="仿宋_GB2312" w:hAnsi="Times New Roman"/>
          <w:color w:val="000000"/>
          <w:sz w:val="32"/>
          <w:szCs w:val="32"/>
        </w:rPr>
        <w:t>滚动交割流程的第一日是配对日。</w:t>
      </w:r>
    </w:p>
    <w:p w14:paraId="61361ADC" w14:textId="77777777" w:rsidR="00726163" w:rsidRPr="00726163" w:rsidRDefault="00726163" w:rsidP="003E3461">
      <w:pPr>
        <w:shd w:val="clear" w:color="auto" w:fill="FFFFFF"/>
        <w:spacing w:line="480" w:lineRule="auto"/>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w:t>
      </w:r>
      <w:r w:rsidRPr="00726163">
        <w:rPr>
          <w:rFonts w:ascii="Times New Roman" w:eastAsia="仿宋_GB2312" w:hAnsi="Times New Roman"/>
          <w:color w:val="000000"/>
          <w:sz w:val="32"/>
          <w:szCs w:val="32"/>
        </w:rPr>
        <w:t>2</w:t>
      </w:r>
      <w:r w:rsidRPr="00726163">
        <w:rPr>
          <w:rFonts w:ascii="Times New Roman" w:eastAsia="仿宋_GB2312" w:hAnsi="Times New Roman"/>
          <w:color w:val="000000"/>
          <w:sz w:val="32"/>
          <w:szCs w:val="32"/>
        </w:rPr>
        <w:t>号品种，只能以厂库标准仓单申报交割。</w:t>
      </w:r>
    </w:p>
    <w:p w14:paraId="73B15E6F" w14:textId="77777777" w:rsidR="00726163" w:rsidRPr="00726163" w:rsidRDefault="00726163" w:rsidP="003E3461">
      <w:pPr>
        <w:shd w:val="clear" w:color="auto" w:fill="FFFFFF"/>
        <w:spacing w:line="480" w:lineRule="auto"/>
        <w:ind w:firstLine="645"/>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（二）买方申报意向。持有交割月单向买持仓的买方在交割月第一个交易日至最后交易日前一交易日闭市前可以向交易所申报交割意向。</w:t>
      </w:r>
    </w:p>
    <w:p w14:paraId="7680B378" w14:textId="77777777" w:rsidR="00726163" w:rsidRPr="00726163" w:rsidRDefault="00726163" w:rsidP="003E3461">
      <w:pPr>
        <w:shd w:val="clear" w:color="auto" w:fill="FFFFFF"/>
        <w:spacing w:line="480" w:lineRule="auto"/>
        <w:ind w:firstLine="645"/>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液化石油气等品种期货业务细则对滚动交割配对日卖方申报交割和买方申报意向另有规定的，适用其规定。</w:t>
      </w:r>
    </w:p>
    <w:p w14:paraId="4271F935" w14:textId="77777777" w:rsidR="00726163" w:rsidRPr="00726163" w:rsidRDefault="00726163" w:rsidP="003E3461">
      <w:pPr>
        <w:shd w:val="clear" w:color="auto" w:fill="FFFFFF"/>
        <w:spacing w:line="480" w:lineRule="auto"/>
        <w:ind w:firstLine="645"/>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第四十条</w:t>
      </w:r>
      <w:r w:rsidRPr="00726163">
        <w:rPr>
          <w:rFonts w:ascii="Times New Roman" w:eastAsia="仿宋_GB2312" w:hAnsi="Times New Roman"/>
          <w:color w:val="000000"/>
          <w:sz w:val="32"/>
          <w:szCs w:val="32"/>
        </w:rPr>
        <w:t xml:space="preserve"> </w:t>
      </w:r>
      <w:r w:rsidRPr="00726163">
        <w:rPr>
          <w:rFonts w:ascii="Times New Roman" w:eastAsia="仿宋_GB2312" w:hAnsi="Times New Roman"/>
          <w:color w:val="000000"/>
          <w:sz w:val="32"/>
          <w:szCs w:val="32"/>
        </w:rPr>
        <w:t>配对日闭市后，交易所通过系统，按照</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申报意向优先、含有建仓时间最早的持仓优先</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原则，确定参与配对的买方持仓。</w:t>
      </w:r>
    </w:p>
    <w:p w14:paraId="29722E69" w14:textId="77777777" w:rsidR="00726163" w:rsidRPr="00726163" w:rsidRDefault="00726163" w:rsidP="003E3461">
      <w:pPr>
        <w:shd w:val="clear" w:color="auto" w:fill="FFFFFF"/>
        <w:spacing w:line="480" w:lineRule="auto"/>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 xml:space="preserve">　　对于选取的买卖双方，交易所先以仓库为单位汇总卖方申报交割的仓单数量，在买方和仓库之间按照</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最少配对数</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原则进行配对，确定买方交割对应的仓库和在该仓库交割的数量；再将配好仓库的买方与申请交割且持有该仓库仓单的卖方以</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最少配对数</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原则进行配对，确定交割对应的买卖双方。配对结果一经确定，买卖双方不得变更。</w:t>
      </w:r>
    </w:p>
    <w:p w14:paraId="1C6B48EA" w14:textId="77777777" w:rsidR="00726163" w:rsidRPr="00726163" w:rsidRDefault="00726163" w:rsidP="003E3461">
      <w:pPr>
        <w:shd w:val="clear" w:color="auto" w:fill="FFFFFF"/>
        <w:spacing w:line="480" w:lineRule="auto"/>
        <w:ind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对于集团交割仓库的标准仓单，以分库为单位申报交割意向，进行交割配对。</w:t>
      </w:r>
    </w:p>
    <w:p w14:paraId="5AD8F985" w14:textId="77777777" w:rsidR="00726163" w:rsidRPr="00726163" w:rsidRDefault="00726163" w:rsidP="003E3461">
      <w:pPr>
        <w:shd w:val="clear" w:color="auto" w:fill="FFFFFF"/>
        <w:spacing w:line="480" w:lineRule="auto"/>
        <w:ind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纤维板</w:t>
      </w:r>
      <w:r w:rsidRPr="00726163">
        <w:rPr>
          <w:rFonts w:ascii="Times New Roman" w:eastAsia="仿宋_GB2312" w:hAnsi="Times New Roman"/>
          <w:color w:val="000000"/>
          <w:sz w:val="32"/>
          <w:szCs w:val="32"/>
          <w:shd w:val="pct15" w:color="auto" w:fill="FFFFFF"/>
        </w:rPr>
        <w:t>、液化石油气</w:t>
      </w:r>
      <w:r w:rsidRPr="00726163">
        <w:rPr>
          <w:rFonts w:ascii="Times New Roman" w:eastAsia="仿宋_GB2312" w:hAnsi="Times New Roman"/>
          <w:color w:val="000000"/>
          <w:sz w:val="32"/>
          <w:szCs w:val="32"/>
        </w:rPr>
        <w:t>等品种期货业务细则对滚动交割配对范围、配对原则和方法另有规定的，适用其规定。</w:t>
      </w:r>
    </w:p>
    <w:p w14:paraId="50E94C37" w14:textId="77777777" w:rsidR="00726163" w:rsidRPr="00726163" w:rsidRDefault="00726163" w:rsidP="003E3461">
      <w:pPr>
        <w:shd w:val="clear" w:color="auto" w:fill="FFFFFF"/>
        <w:adjustRightInd w:val="0"/>
        <w:snapToGrid w:val="0"/>
        <w:spacing w:line="580" w:lineRule="exact"/>
        <w:ind w:firstLineChars="200" w:firstLine="64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第六十一条</w:t>
      </w:r>
      <w:r w:rsidRPr="00726163">
        <w:rPr>
          <w:rFonts w:ascii="Times New Roman" w:eastAsia="仿宋_GB2312" w:hAnsi="Times New Roman"/>
          <w:color w:val="000000"/>
          <w:kern w:val="0"/>
          <w:sz w:val="32"/>
          <w:szCs w:val="32"/>
        </w:rPr>
        <w:t xml:space="preserve"> </w:t>
      </w:r>
      <w:r w:rsidRPr="00726163">
        <w:rPr>
          <w:rFonts w:ascii="Times New Roman" w:eastAsia="仿宋_GB2312" w:hAnsi="Times New Roman"/>
          <w:color w:val="000000"/>
          <w:kern w:val="0"/>
          <w:sz w:val="32"/>
          <w:szCs w:val="32"/>
        </w:rPr>
        <w:t>一次性交割是指在合约最后交易日后，交易所组织所有未平仓合约持有者进行交割的交割方式。</w:t>
      </w:r>
    </w:p>
    <w:p w14:paraId="211DBF36" w14:textId="77777777" w:rsidR="00726163" w:rsidRPr="00726163" w:rsidRDefault="00726163" w:rsidP="003E3461">
      <w:pPr>
        <w:shd w:val="clear" w:color="auto" w:fill="FFFFFF"/>
        <w:adjustRightInd w:val="0"/>
        <w:snapToGrid w:val="0"/>
        <w:spacing w:line="580" w:lineRule="exac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一次性交割在</w:t>
      </w:r>
      <w:r w:rsidRPr="00726163">
        <w:rPr>
          <w:rFonts w:ascii="Times New Roman" w:eastAsia="仿宋_GB2312" w:hAnsi="Times New Roman"/>
          <w:color w:val="000000"/>
          <w:kern w:val="0"/>
          <w:sz w:val="32"/>
          <w:szCs w:val="32"/>
        </w:rPr>
        <w:t>3</w:t>
      </w:r>
      <w:r w:rsidRPr="00726163">
        <w:rPr>
          <w:rFonts w:ascii="Times New Roman" w:eastAsia="仿宋_GB2312" w:hAnsi="Times New Roman"/>
          <w:color w:val="000000"/>
          <w:kern w:val="0"/>
          <w:sz w:val="32"/>
          <w:szCs w:val="32"/>
        </w:rPr>
        <w:t>个交易日内完成，分别为标准仓单提交日、配对日和交收日（最后交割日）。在合约最后交易日后，所有未平仓合约的持有者须以交割履约，同一客户号买卖持仓相对应部分的持仓视为自动平仓，不予办理交割，平仓价按一次性交割的交割结算价计算。</w:t>
      </w:r>
    </w:p>
    <w:p w14:paraId="0D3D3D4F"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一次性交割的交割结算价采用该期货合约自交割月第一个交易日起至最后交易日所有成交价格的加权平均价。鸡蛋、乙二醇、苯乙烯</w:t>
      </w:r>
      <w:r w:rsidRPr="00726163">
        <w:rPr>
          <w:rFonts w:ascii="Times New Roman" w:eastAsia="仿宋_GB2312" w:hAnsi="Times New Roman"/>
          <w:color w:val="000000"/>
          <w:kern w:val="0"/>
          <w:sz w:val="32"/>
          <w:szCs w:val="32"/>
          <w:shd w:val="pct15" w:color="auto" w:fill="FFFFFF"/>
        </w:rPr>
        <w:t>、液化石油气</w:t>
      </w:r>
      <w:r w:rsidRPr="00726163">
        <w:rPr>
          <w:rFonts w:ascii="Times New Roman" w:eastAsia="仿宋_GB2312" w:hAnsi="Times New Roman"/>
          <w:color w:val="000000"/>
          <w:kern w:val="0"/>
          <w:sz w:val="32"/>
          <w:szCs w:val="32"/>
        </w:rPr>
        <w:t>等品种期货业务细则对一次性交割的交割结算价另有规定的，适用其规定。</w:t>
      </w:r>
    </w:p>
    <w:p w14:paraId="0165A624" w14:textId="77777777" w:rsidR="00726163" w:rsidRPr="00726163" w:rsidRDefault="00726163" w:rsidP="003E3461">
      <w:pPr>
        <w:ind w:firstLineChars="200" w:firstLine="640"/>
        <w:rPr>
          <w:rFonts w:ascii="Times New Roman" w:eastAsia="仿宋_GB2312" w:hAnsi="Times New Roman"/>
          <w:color w:val="000000"/>
          <w:kern w:val="0"/>
          <w:sz w:val="32"/>
          <w:szCs w:val="32"/>
        </w:rPr>
      </w:pPr>
    </w:p>
    <w:p w14:paraId="33A36D86" w14:textId="77777777" w:rsidR="00726163" w:rsidRPr="00726163" w:rsidRDefault="00726163" w:rsidP="003E3461">
      <w:pPr>
        <w:ind w:firstLineChars="200" w:firstLine="560"/>
        <w:rPr>
          <w:rFonts w:ascii="Times New Roman" w:eastAsia="宋体" w:hAnsi="Times New Roman"/>
          <w:szCs w:val="24"/>
        </w:rPr>
      </w:pPr>
      <w:r w:rsidRPr="00726163">
        <w:rPr>
          <w:rFonts w:ascii="Times New Roman" w:eastAsia="楷体" w:hAnsi="Times New Roman"/>
          <w:color w:val="000000"/>
          <w:sz w:val="28"/>
          <w:szCs w:val="28"/>
        </w:rPr>
        <w:t>注：阴影部分为新增内容</w:t>
      </w:r>
      <w:r w:rsidRPr="00726163">
        <w:rPr>
          <w:rFonts w:ascii="Times New Roman" w:eastAsia="楷体" w:hAnsi="Times New Roman"/>
          <w:sz w:val="28"/>
          <w:szCs w:val="28"/>
        </w:rPr>
        <w:t>，双划线部分为删除内容</w:t>
      </w:r>
      <w:r w:rsidRPr="00726163">
        <w:rPr>
          <w:rFonts w:ascii="Times New Roman" w:eastAsia="楷体" w:hAnsi="Times New Roman"/>
          <w:color w:val="000000"/>
          <w:sz w:val="28"/>
          <w:szCs w:val="28"/>
        </w:rPr>
        <w:t>。</w:t>
      </w:r>
    </w:p>
    <w:p w14:paraId="1FAD7B3C" w14:textId="77777777" w:rsidR="00726163" w:rsidRPr="00726163" w:rsidRDefault="00726163" w:rsidP="003E3461">
      <w:pPr>
        <w:rPr>
          <w:rFonts w:ascii="Times New Roman" w:eastAsia="宋体" w:hAnsi="Times New Roman"/>
          <w:szCs w:val="24"/>
        </w:rPr>
      </w:pPr>
    </w:p>
    <w:bookmarkEnd w:id="0"/>
    <w:bookmarkEnd w:id="1"/>
    <w:p w14:paraId="5D5D6BB3" w14:textId="77777777" w:rsidR="00726163" w:rsidRPr="00726163" w:rsidRDefault="00726163" w:rsidP="003E3461">
      <w:pPr>
        <w:spacing w:before="100" w:beforeAutospacing="1" w:after="100" w:afterAutospacing="1"/>
        <w:jc w:val="left"/>
        <w:rPr>
          <w:rFonts w:ascii="Times New Roman" w:eastAsia="仿宋_GB2312" w:hAnsi="Times New Roman"/>
          <w:kern w:val="0"/>
          <w:sz w:val="32"/>
          <w:szCs w:val="32"/>
        </w:rPr>
        <w:sectPr w:rsidR="00726163" w:rsidRPr="00726163">
          <w:pgSz w:w="11906" w:h="16838"/>
          <w:pgMar w:top="1440" w:right="1800" w:bottom="1440" w:left="1800" w:header="851" w:footer="992" w:gutter="0"/>
          <w:cols w:space="425"/>
          <w:docGrid w:type="lines" w:linePitch="312"/>
        </w:sectPr>
      </w:pPr>
    </w:p>
    <w:p w14:paraId="63F98B61" w14:textId="77777777" w:rsidR="00726163" w:rsidRPr="00726163" w:rsidRDefault="00726163" w:rsidP="003E3461">
      <w:pPr>
        <w:spacing w:line="580" w:lineRule="exact"/>
        <w:jc w:val="left"/>
        <w:rPr>
          <w:rFonts w:ascii="Times New Roman" w:eastAsia="仿宋_GB2312" w:hAnsi="Times New Roman"/>
          <w:sz w:val="32"/>
          <w:szCs w:val="32"/>
        </w:rPr>
      </w:pPr>
    </w:p>
    <w:p w14:paraId="7764E632"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《大连商品交易所交割管理办法》</w:t>
      </w:r>
    </w:p>
    <w:p w14:paraId="74E003D2"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修订稿</w:t>
      </w:r>
    </w:p>
    <w:p w14:paraId="50FF92A3"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77A96116"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第一章 总则</w:t>
      </w:r>
    </w:p>
    <w:p w14:paraId="37FE7C1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为保证大连商品交易所</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以下简称交易所</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期货交割业务的正常进行，规范实物交割行为，根据《大连商品交易所交易规则》，制定本办法。</w:t>
      </w:r>
    </w:p>
    <w:p w14:paraId="38EB0B7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交易所上市的商品期货合约采用实物交割方式。实物交割是指交易双方按照合约和规则的规定通过该期货合约所载商品所有权的转移</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了结未平仓合约的过程。</w:t>
      </w:r>
    </w:p>
    <w:p w14:paraId="2C23CC4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客户的实物交割应当由会员办理，并以会员名义在交易所进行。</w:t>
      </w:r>
    </w:p>
    <w:p w14:paraId="7460261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委托境外经纪机构从事期货交易的客户的交割应当委托其境外经纪机构办理，境外经纪机构再委托会员办理，以会员名义在交易所进行。</w:t>
      </w:r>
    </w:p>
    <w:p w14:paraId="27A234F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期货实物交割可以采用标准仓单交割和标准仓单以外的交割方式。</w:t>
      </w:r>
    </w:p>
    <w:p w14:paraId="14D5F3A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期货实物交割可以适用期货转现货（以下简称期转现）、提货单交割、滚动交割、全月每日选择交割、一次性交割以及交易所规定的其他流程。</w:t>
      </w:r>
    </w:p>
    <w:p w14:paraId="6EF1B31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个人客户持仓和焦炭、焦煤、铁矿石、黄大豆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号非交割单位整数倍持仓不得交割，不具备苯乙烯或液化石油气生产、经营或使用资质的单位客户不得参与相应品种交割。</w:t>
      </w:r>
    </w:p>
    <w:p w14:paraId="4970A6F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自交割月份第一个交易日起，交易所对个人客户交割月份合约的持仓予以强行平仓。</w:t>
      </w:r>
    </w:p>
    <w:p w14:paraId="01C2265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对焦炭、焦煤、铁矿石、黄大豆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号、苯乙烯、液化石油气以外品种合约，最后交易日收市后，个人客户交割月份合约的持仓仍未能平仓的，首先由会员代为履约，会员仍未能履约的，则按照本办法第九章有关规定进行处理。</w:t>
      </w:r>
    </w:p>
    <w:p w14:paraId="10451AC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对焦炭、焦煤、铁矿石、黄大豆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号、苯乙烯、液化石油气合约，最后交易日收市后，个人客户交割月份合约的持仓和非交割单位整数倍持仓仍未能平仓的，由交易所按照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不允许交割持仓优先，含有时间最短持仓的交割单位整数倍持仓优先</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原则，选择对手方持仓对冲平仓，平仓价格为该合约交割结算价，并对客户持有的不允许交割持仓部分处以按交割结算价计算合约价值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％的罚款，该款项支付给对方。若对冲双方均为持有不允许交割持仓的客户，交易所对双方分别处以按交割结算价计算合约价值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％的罚款，不再支付给对方。</w:t>
      </w:r>
    </w:p>
    <w:p w14:paraId="4620982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对于苯乙烯、液化石油气合约，不具备相应品种生产、经营或使用资质的单位客户持仓在滚动交割、一次性交割流程下被配对的，交易所在交收日闭市后对其处以按交割结算价计算合约价值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的罚款，该款项支付给对方。若配对双方均为不得交割的客户，交易所对双方分别处以按交割结算价计算合约价值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％的罚款，不再支付给对方。</w:t>
      </w:r>
    </w:p>
    <w:p w14:paraId="6B7A4E4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交易所上市的商品期货合约的交割业务按本办法进行，交易所、会员、境外经纪机构、客户、指定交割仓库、指定车板交割场所、指定质量检验机构等交割业务参与者应当遵守本办法。</w:t>
      </w:r>
    </w:p>
    <w:p w14:paraId="4E19335C"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第二章 期转现</w:t>
      </w:r>
    </w:p>
    <w:p w14:paraId="37D4342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期转现是指持有同一交割月份合约的交易双方通过协商达成现货买卖协议，并按照协议价格了结各自持有的期货持仓，同时进行数量相当的货款和实物交换。</w:t>
      </w:r>
    </w:p>
    <w:p w14:paraId="62E18CF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期转现分为标准仓单期转现和非标准仓单期转现。标准仓单期转现根据标准仓单类型分为完税标准仓单期转现和保税标准仓单期转现（以下简称保税期转现）。</w:t>
      </w:r>
    </w:p>
    <w:p w14:paraId="01E8CC0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提出期转现申请的客户必须是单位客户，期转现的期限为该合约上市之日起至交割月份前一个月倒数第三个交易日（含当日）。黄大豆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号、鸡蛋等品种期货业务细则对期转现的期限另有规定的，适用其规定。</w:t>
      </w:r>
    </w:p>
    <w:p w14:paraId="5AE8C1A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交易双方达成现货买卖协议后，应向交易所提交下述材料：</w:t>
      </w:r>
    </w:p>
    <w:p w14:paraId="2E5AD11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（一）期转现申请；</w:t>
      </w:r>
    </w:p>
    <w:p w14:paraId="6D14DFA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（二）现货买卖协议；</w:t>
      </w:r>
    </w:p>
    <w:p w14:paraId="54D6257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（三）相关的货款证明；</w:t>
      </w:r>
    </w:p>
    <w:p w14:paraId="3668783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（四）相关的标准仓单、入库单、存货单等货物持有证明。</w:t>
      </w:r>
    </w:p>
    <w:p w14:paraId="60D78C1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号、苯乙烯、液化石油气等品种期货业务细则对期转现申请材料另有规定的，适用其规定。</w:t>
      </w:r>
    </w:p>
    <w:p w14:paraId="4827746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采用标准仓单进行期转现时，会员应在交易日</w:t>
      </w:r>
      <w:r w:rsidRPr="00726163">
        <w:rPr>
          <w:rFonts w:ascii="Times New Roman" w:eastAsia="仿宋_GB2312" w:hAnsi="Times New Roman"/>
          <w:color w:val="333333"/>
          <w:kern w:val="0"/>
          <w:sz w:val="32"/>
          <w:szCs w:val="32"/>
        </w:rPr>
        <w:t>11:30</w:t>
      </w:r>
      <w:r w:rsidRPr="00726163">
        <w:rPr>
          <w:rFonts w:ascii="Times New Roman" w:eastAsia="仿宋_GB2312" w:hAnsi="Times New Roman"/>
          <w:color w:val="333333"/>
          <w:kern w:val="0"/>
          <w:sz w:val="32"/>
          <w:szCs w:val="32"/>
        </w:rPr>
        <w:t>前向交易所提出申请，交易所在申请的当日内予以审批。</w:t>
      </w:r>
    </w:p>
    <w:p w14:paraId="2CAA5A6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批准日</w:t>
      </w:r>
      <w:r w:rsidRPr="00726163">
        <w:rPr>
          <w:rFonts w:ascii="Times New Roman" w:eastAsia="仿宋_GB2312" w:hAnsi="Times New Roman"/>
          <w:color w:val="333333"/>
          <w:kern w:val="0"/>
          <w:sz w:val="32"/>
          <w:szCs w:val="32"/>
        </w:rPr>
        <w:t>11:30</w:t>
      </w:r>
      <w:r w:rsidRPr="00726163">
        <w:rPr>
          <w:rFonts w:ascii="Times New Roman" w:eastAsia="仿宋_GB2312" w:hAnsi="Times New Roman"/>
          <w:color w:val="333333"/>
          <w:kern w:val="0"/>
          <w:sz w:val="32"/>
          <w:szCs w:val="32"/>
        </w:rPr>
        <w:t>前，卖方会员应将相应数量的标准仓单交到交易所，买方会员应将按协议价格计算的全额货款划入交易所帐户。</w:t>
      </w:r>
    </w:p>
    <w:p w14:paraId="1E5B155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采用非标准仓单进行期转现时，交易所在收到申请后的三个交易日内予以审批。</w:t>
      </w:r>
    </w:p>
    <w:p w14:paraId="274E37A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标准仓单期转现的仓单交收和货款支付由交易所负责办理，具体流程见《大连商品交易所结算管理办法》。手续费按交割手续费标准收取，黄大豆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号等品种期货业务细则另有规定的，适用其规定。</w:t>
      </w:r>
    </w:p>
    <w:p w14:paraId="7EB97FA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非标准仓单期转现的货物交收和货款收付通过交易双方自行办理的，由交易双方自行协商确定；货款收付委托交易所办理的，具体流程见《大连商品交易所结算管理办法》。手续费按交易手续费标准收取，黄大豆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号等品种期货业务细则另有规定的，适用其规定。交易所对非标准仓单期转现的货物交收和货款支付不承担担保责任。</w:t>
      </w:r>
    </w:p>
    <w:p w14:paraId="2D62BA7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14:paraId="3F97C1F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期转现批准日结算时，交易所将交易双方的期转现持仓按协议价格进行结算处理，产生的盈亏计入当日平仓盈亏。</w:t>
      </w:r>
    </w:p>
    <w:p w14:paraId="3BF9FC8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期转现的持仓从当日持仓量中扣除，交易结果不计入当日结算价和成交量。每个交易日结束后，交易所将当日执行的期转现有关信息予以公布。</w:t>
      </w:r>
    </w:p>
    <w:p w14:paraId="005A677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对非善意的期转现行为，按照《大连商品交易所违规处理办法》中的有关规定处理。</w:t>
      </w:r>
    </w:p>
    <w:p w14:paraId="273F391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实行保税交割相关品种期货业务细则对保税期转现有规定的，按照其规定执行。</w:t>
      </w:r>
    </w:p>
    <w:p w14:paraId="3F7CDA94"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第三章 提货单交割</w:t>
      </w:r>
    </w:p>
    <w:p w14:paraId="33DA37B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提货单交割是指在交割月前一个月的规定时间内，由买卖双方主动申请、经交易所组织配对并监督、按照规定程序进行货物交收的实物交割方式。</w:t>
      </w:r>
    </w:p>
    <w:p w14:paraId="5598E43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提货单交割的商品可以是完税商品，也可以是保税商品。同一批提货单交割的商品应当同为完税商品或者保税商品。</w:t>
      </w:r>
    </w:p>
    <w:p w14:paraId="6577DF4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适用提货单交割的品种由交易所在相关品种期货业务细则中规定。</w:t>
      </w:r>
    </w:p>
    <w:p w14:paraId="42BE9E8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交货地点在交易所指定交割地点中选择，具体指定交割地点由交易所另行公布。</w:t>
      </w:r>
    </w:p>
    <w:p w14:paraId="25D5AB0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提货单是指在买方完成商品验收、确认合格、并经存货港口对物权转移确认后，卖方签发给买方的实物提货凭证。</w:t>
      </w:r>
    </w:p>
    <w:p w14:paraId="110E94D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提货单的内容包括：买方名称、卖方名称、存货港口名称、货物名称、数量、品质、存放地点、货物状态（完税商品或保税商品）、签发日期等。提货单须经买方、卖方、存货港口盖章确认。</w:t>
      </w:r>
    </w:p>
    <w:p w14:paraId="7770D48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提货单交割由会员代境外经纪机构、客户办理，非期货公司会员可自行办理。委托境外经纪机构进行期货交易的客户，提货单交割由境外经纪机构办理，境外经纪机构再委托会员办理。</w:t>
      </w:r>
    </w:p>
    <w:p w14:paraId="3E95D90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客户提出提货单交割申请的总量不得超过其同方向持仓。</w:t>
      </w:r>
    </w:p>
    <w:p w14:paraId="15B4560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每笔提货单交割申请的数量见相关品种期货业务细则。</w:t>
      </w:r>
    </w:p>
    <w:p w14:paraId="4255655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提货单交割的申请及配对按照如下规定进行：</w:t>
      </w:r>
    </w:p>
    <w:p w14:paraId="611DC52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（一）买方客户在交割月前一个月第</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个交易日至交割月前一个月第</w:t>
      </w:r>
      <w:r w:rsidRPr="00726163">
        <w:rPr>
          <w:rFonts w:ascii="Times New Roman" w:eastAsia="仿宋_GB2312" w:hAnsi="Times New Roman"/>
          <w:color w:val="333333"/>
          <w:kern w:val="0"/>
          <w:sz w:val="32"/>
          <w:szCs w:val="32"/>
        </w:rPr>
        <w:t>14</w:t>
      </w:r>
      <w:r w:rsidRPr="00726163">
        <w:rPr>
          <w:rFonts w:ascii="Times New Roman" w:eastAsia="仿宋_GB2312" w:hAnsi="Times New Roman"/>
          <w:color w:val="333333"/>
          <w:kern w:val="0"/>
          <w:sz w:val="32"/>
          <w:szCs w:val="32"/>
        </w:rPr>
        <w:t>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14:paraId="4E21170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（二）卖方客户在买方提意向申请的第</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个交易日下午</w:t>
      </w:r>
      <w:r w:rsidRPr="00726163">
        <w:rPr>
          <w:rFonts w:ascii="Times New Roman" w:eastAsia="仿宋_GB2312" w:hAnsi="Times New Roman"/>
          <w:color w:val="333333"/>
          <w:kern w:val="0"/>
          <w:sz w:val="32"/>
          <w:szCs w:val="32"/>
        </w:rPr>
        <w:t>14:00</w:t>
      </w:r>
      <w:r w:rsidRPr="00726163">
        <w:rPr>
          <w:rFonts w:ascii="Times New Roman" w:eastAsia="仿宋_GB2312" w:hAnsi="Times New Roman"/>
          <w:color w:val="333333"/>
          <w:kern w:val="0"/>
          <w:sz w:val="32"/>
          <w:szCs w:val="32"/>
        </w:rPr>
        <w:t>前，根据上一个交易日公布的买方意向，可以通过会员向交易所提出多笔包含数量和交收地点的申请，申请中也可以包含配对时参考的意向买方，单笔申请最多可以包含两个意向地点和两个意向买方。</w:t>
      </w:r>
    </w:p>
    <w:p w14:paraId="667D215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（三）卖方提出申请当日为配对日。配对日闭市后，交易所参考卖方提出的意向买方和意向地点，按照最大交割数量原则组织配对。配对结果一经确定，买卖双方不得变更。</w:t>
      </w:r>
    </w:p>
    <w:p w14:paraId="6973D59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配对日闭市后，交割配对持仓按配对日的结算价平仓。交割结算价为配对日的当日结算价。买持仓的交易保证金转为交割预付款，卖持仓的交易保证金转为交割保证金。</w:t>
      </w:r>
    </w:p>
    <w:p w14:paraId="1BD7339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客户在提申请时应同时向交易所提交联系人及相应的联系方式，交易所于配对日闭市后，通过电子仓单系统将配对结果、联系人和联系方式发送给买卖双方会员，配对结果同时通过交易所网站等对外公布。系统一经发送，即视为已经送达。买卖双方收到配对信息后，应主动沟通协商货物交收事宜。</w:t>
      </w:r>
    </w:p>
    <w:p w14:paraId="29E3FBB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船预计到港或在港货物验收前</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个自然日（若第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个自然日不是交易日，则提前至上一个交易日）为通知日。</w:t>
      </w:r>
    </w:p>
    <w:p w14:paraId="2A3D0BC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卖方会员通过电子仓单系统将交货地点、货物预计到港日期、数量、船名、提单号、货物状态（完税商品或保税商品）等信息发送至交易所。通知日闭市后，交易所通过电子仓单系统发送给买方会员。如果货物到港日期等信息发生变更，卖方应及时通知买方。</w:t>
      </w:r>
    </w:p>
    <w:p w14:paraId="02F998C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通知日后第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个自然日不是交易日的，顺延至下一个交易日）闭市前，买方的交割预付款和卖方的交割保证金应按配对合约价值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补足。闭市后，交易所从相应会员的结算准备金中划转。</w:t>
      </w:r>
    </w:p>
    <w:p w14:paraId="3C66C8B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最后通知日为交割月前一个月倒数第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个交易日。卖方仍未发送通知信息的，在最后通知日后第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个自然日不是交易日的，顺延至下一个交易日）闭市前，买方的交割预付款和卖方的交割保证金应按配对合约价值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补足。闭市后，交易所从相应会员的结算准备金中划转。</w:t>
      </w:r>
    </w:p>
    <w:p w14:paraId="4E2EAD5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货物交收确认可以按照以下程序进行：</w:t>
      </w:r>
    </w:p>
    <w:p w14:paraId="6FBD789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（一）卖方应最少在卸货前（或货物检验前）</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小时通知买方，买卖双方到场监收。</w:t>
      </w:r>
    </w:p>
    <w:p w14:paraId="52C80E5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（二）买方委托的质检机构应在卸货过程中或堆垛过程中进行抽样。检验项目按期货交割质量标准进行。抽样样品留存</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个月。检验费用由买方负担，其他费用由卖方负担。</w:t>
      </w:r>
    </w:p>
    <w:p w14:paraId="5FDB4FE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（三）货物检重以地磅或双方认可的其他计重方式为准。首先根据装船时检验的水分，按照合约的规定对重量进行折算，足量称重，最终依据为货物交收时质检机构出具的水分检验结果，允许</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的溢短。折算时均按四舍五入取整。</w:t>
      </w:r>
    </w:p>
    <w:p w14:paraId="7B9586D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假设应交收的干基重量</w:t>
      </w:r>
      <w:r w:rsidRPr="00726163">
        <w:rPr>
          <w:rFonts w:ascii="Times New Roman" w:eastAsia="仿宋_GB2312" w:hAnsi="Times New Roman"/>
          <w:color w:val="333333"/>
          <w:kern w:val="0"/>
          <w:sz w:val="32"/>
          <w:szCs w:val="32"/>
        </w:rPr>
        <w:t>10000</w:t>
      </w:r>
      <w:r w:rsidRPr="00726163">
        <w:rPr>
          <w:rFonts w:ascii="Times New Roman" w:eastAsia="仿宋_GB2312" w:hAnsi="Times New Roman"/>
          <w:color w:val="333333"/>
          <w:kern w:val="0"/>
          <w:sz w:val="32"/>
          <w:szCs w:val="32"/>
        </w:rPr>
        <w:t>吨，装船水分检验结果为</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，卸船时质检机构的水分检验结果为</w:t>
      </w:r>
      <w:r w:rsidRPr="00726163">
        <w:rPr>
          <w:rFonts w:ascii="Times New Roman" w:eastAsia="仿宋_GB2312" w:hAnsi="Times New Roman"/>
          <w:color w:val="333333"/>
          <w:kern w:val="0"/>
          <w:sz w:val="32"/>
          <w:szCs w:val="32"/>
        </w:rPr>
        <w:t>8%</w:t>
      </w:r>
      <w:r w:rsidRPr="00726163">
        <w:rPr>
          <w:rFonts w:ascii="Times New Roman" w:eastAsia="仿宋_GB2312" w:hAnsi="Times New Roman"/>
          <w:color w:val="333333"/>
          <w:kern w:val="0"/>
          <w:sz w:val="32"/>
          <w:szCs w:val="32"/>
        </w:rPr>
        <w:t>，则卸货时应按</w:t>
      </w:r>
      <w:r w:rsidRPr="00726163">
        <w:rPr>
          <w:rFonts w:ascii="Times New Roman" w:eastAsia="仿宋_GB2312" w:hAnsi="Times New Roman"/>
          <w:color w:val="333333"/>
          <w:kern w:val="0"/>
          <w:sz w:val="32"/>
          <w:szCs w:val="32"/>
        </w:rPr>
        <w:t>10000÷</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1-6%</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=10638</w:t>
      </w:r>
      <w:r w:rsidRPr="00726163">
        <w:rPr>
          <w:rFonts w:ascii="Times New Roman" w:eastAsia="仿宋_GB2312" w:hAnsi="Times New Roman"/>
          <w:color w:val="333333"/>
          <w:kern w:val="0"/>
          <w:sz w:val="32"/>
          <w:szCs w:val="32"/>
        </w:rPr>
        <w:t>（吨）足量验重，假设实际卸货重量为</w:t>
      </w:r>
      <w:r w:rsidRPr="00726163">
        <w:rPr>
          <w:rFonts w:ascii="Times New Roman" w:eastAsia="仿宋_GB2312" w:hAnsi="Times New Roman"/>
          <w:color w:val="333333"/>
          <w:kern w:val="0"/>
          <w:sz w:val="32"/>
          <w:szCs w:val="32"/>
        </w:rPr>
        <w:t>a</w:t>
      </w:r>
      <w:r w:rsidRPr="00726163">
        <w:rPr>
          <w:rFonts w:ascii="Times New Roman" w:eastAsia="仿宋_GB2312" w:hAnsi="Times New Roman"/>
          <w:color w:val="333333"/>
          <w:kern w:val="0"/>
          <w:sz w:val="32"/>
          <w:szCs w:val="32"/>
        </w:rPr>
        <w:t>吨，则最后实际交收重量为</w:t>
      </w:r>
      <w:r w:rsidRPr="00726163">
        <w:rPr>
          <w:rFonts w:ascii="Times New Roman" w:eastAsia="仿宋_GB2312" w:hAnsi="Times New Roman"/>
          <w:color w:val="333333"/>
          <w:kern w:val="0"/>
          <w:sz w:val="32"/>
          <w:szCs w:val="32"/>
        </w:rPr>
        <w:t>a×</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1-8%</w:t>
      </w:r>
      <w:r w:rsidRPr="00726163">
        <w:rPr>
          <w:rFonts w:ascii="Times New Roman" w:eastAsia="仿宋_GB2312" w:hAnsi="Times New Roman"/>
          <w:color w:val="333333"/>
          <w:kern w:val="0"/>
          <w:sz w:val="32"/>
          <w:szCs w:val="32"/>
        </w:rPr>
        <w:t>）吨，溢短为</w:t>
      </w:r>
      <w:r w:rsidRPr="00726163">
        <w:rPr>
          <w:rFonts w:ascii="Times New Roman" w:eastAsia="仿宋_GB2312" w:hAnsi="Times New Roman"/>
          <w:color w:val="333333"/>
          <w:kern w:val="0"/>
          <w:sz w:val="32"/>
          <w:szCs w:val="32"/>
        </w:rPr>
        <w:t>[a×</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1-8%</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-10000]</w:t>
      </w:r>
      <w:r w:rsidRPr="00726163">
        <w:rPr>
          <w:rFonts w:ascii="Times New Roman" w:eastAsia="仿宋_GB2312" w:hAnsi="Times New Roman"/>
          <w:color w:val="333333"/>
          <w:kern w:val="0"/>
          <w:sz w:val="32"/>
          <w:szCs w:val="32"/>
        </w:rPr>
        <w:t>（吨）。</w:t>
      </w:r>
    </w:p>
    <w:p w14:paraId="3262E73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（四）卸货完成当日，卖方根据港口出具的磅单，通过电子仓单系统填写交收明细，买方应在当天进行确认，逾期未确认的交易所视为买方无异议。</w:t>
      </w:r>
    </w:p>
    <w:p w14:paraId="174CB4E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收标的为完税商品的，在买方完成品质检验、卖方完成报关后，买方、卖方、港口三方就货物交收事宜进行确认；交收标的为保税商品的，买方完成品质检验后，买方、卖方、港口三方就货物交收事宜进行确认。确认后卖方会员最迟于下一交易日</w:t>
      </w:r>
      <w:r w:rsidRPr="00726163">
        <w:rPr>
          <w:rFonts w:ascii="Times New Roman" w:eastAsia="仿宋_GB2312" w:hAnsi="Times New Roman"/>
          <w:color w:val="333333"/>
          <w:kern w:val="0"/>
          <w:sz w:val="32"/>
          <w:szCs w:val="32"/>
        </w:rPr>
        <w:t>14:00</w:t>
      </w:r>
      <w:r w:rsidRPr="00726163">
        <w:rPr>
          <w:rFonts w:ascii="Times New Roman" w:eastAsia="仿宋_GB2312" w:hAnsi="Times New Roman"/>
          <w:color w:val="333333"/>
          <w:kern w:val="0"/>
          <w:sz w:val="32"/>
          <w:szCs w:val="32"/>
        </w:rPr>
        <w:t>前，通过电子仓单系统填写《交收确认通知单》，买方会员应在卖方填写《交收确认通知单》当日</w:t>
      </w:r>
      <w:r w:rsidRPr="00726163">
        <w:rPr>
          <w:rFonts w:ascii="Times New Roman" w:eastAsia="仿宋_GB2312" w:hAnsi="Times New Roman"/>
          <w:color w:val="333333"/>
          <w:kern w:val="0"/>
          <w:sz w:val="32"/>
          <w:szCs w:val="32"/>
        </w:rPr>
        <w:t>14:30</w:t>
      </w:r>
      <w:r w:rsidRPr="00726163">
        <w:rPr>
          <w:rFonts w:ascii="Times New Roman" w:eastAsia="仿宋_GB2312" w:hAnsi="Times New Roman"/>
          <w:color w:val="333333"/>
          <w:kern w:val="0"/>
          <w:sz w:val="32"/>
          <w:szCs w:val="32"/>
        </w:rPr>
        <w:t>前完成确认，逾期未确认的交易所视为买方无异议。同时，买方将三方确认后的有效提货单通过传真或其他书面方式报送交易所，原件由客户留存备查。</w:t>
      </w:r>
    </w:p>
    <w:p w14:paraId="74C48A7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交收标的为保税商品的，买方需要进口报关的，买方应当在《保税交割结算单》（报关专用）开具日</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个工作日（含）内，持《保税交割结算单》（报关专用），按照海关相关规定办理进口报关手续。</w:t>
      </w:r>
    </w:p>
    <w:p w14:paraId="33009F7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买卖双方不按以上程序进行交收确认的，双方应通过电子仓单系统于确认当日</w:t>
      </w:r>
      <w:r w:rsidRPr="00726163">
        <w:rPr>
          <w:rFonts w:ascii="Times New Roman" w:eastAsia="仿宋_GB2312" w:hAnsi="Times New Roman"/>
          <w:color w:val="333333"/>
          <w:kern w:val="0"/>
          <w:sz w:val="32"/>
          <w:szCs w:val="32"/>
        </w:rPr>
        <w:t>14:00</w:t>
      </w:r>
      <w:r w:rsidRPr="00726163">
        <w:rPr>
          <w:rFonts w:ascii="Times New Roman" w:eastAsia="仿宋_GB2312" w:hAnsi="Times New Roman"/>
          <w:color w:val="333333"/>
          <w:kern w:val="0"/>
          <w:sz w:val="32"/>
          <w:szCs w:val="32"/>
        </w:rPr>
        <w:t>前填写《交收确认通知单》，同时应签订《交收商品品质、数量确认书》（交收商品品质、数量确认书详见相关品种期货业务细则），并以传真或其他书面方式报送交易所，交易所不再受理由于交收品质和数量引发的争议申请，原件应在三个工作日内送达交易所。</w:t>
      </w:r>
    </w:p>
    <w:p w14:paraId="39F286E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在收到《交收确认通知单》当日闭市后，通过会员服务系统向买方会员发送货款补齐通知，包括溢短款和升贴水。完税商品货款按交割结算价计算。保税商品货款按交割结算价扣除进口环节增值税、进口关税、消费税等税款后计得的保税交割结算价计算；保税商品升贴水按升贴水扣除进口环节增值税、进口关税、消费税等税款后计得的保税升贴水计算。</w:t>
      </w:r>
    </w:p>
    <w:p w14:paraId="282E0A4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保税交割结算价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交割结算价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相关费用</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进口增值税税率</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消费税</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进口关税税率</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p>
    <w:p w14:paraId="094C649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保税升贴水</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升贴水</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进口增值税税率</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进口关税税率</w:t>
      </w:r>
      <w:r w:rsidRPr="00726163">
        <w:rPr>
          <w:rFonts w:ascii="Times New Roman" w:eastAsia="仿宋_GB2312" w:hAnsi="Times New Roman"/>
          <w:color w:val="333333"/>
          <w:kern w:val="0"/>
          <w:sz w:val="32"/>
          <w:szCs w:val="32"/>
        </w:rPr>
        <w:t>)</w:t>
      </w:r>
    </w:p>
    <w:p w14:paraId="52BC9E5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本条第二款所指的</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相关费用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包括商品进口报关、报检及代理服务等费用，由交易所另行发布；公式适用于消费税从量计征，关税从价计征的期货品种，其他品种的保税交割结算价计算公式由交易所另行规定。</w:t>
      </w:r>
    </w:p>
    <w:p w14:paraId="29128DF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交易所收到《交收确认通知单》下一个交易日为交收日。</w:t>
      </w:r>
    </w:p>
    <w:p w14:paraId="47DD6FA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收日闭市前，买方会员应将交割买持仓相对应的货款（包括溢短款和升贴水）与交割预付款的差额部分划入交易所的专用结算账户，交收标的为保税商品的，卖方会员应将增值税普通发票交付交易所；闭市后，交收标的为完税商品的，交易所释放卖方交割保证金，并将全额货款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划转给卖方，其余货款在卖方提交了增值税专用发票后结清；交收标的为保税商品的，交易所释放卖方交割保证金，并将保税货款划转给卖方。</w:t>
      </w:r>
    </w:p>
    <w:p w14:paraId="151176F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交收标的为完税商品的，发票或者交易所认可的其他单据由交割的卖方客户向相对应的买方客户开具，并由双方会员转交、领取并协助核实。</w:t>
      </w:r>
    </w:p>
    <w:p w14:paraId="5A0CDF8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收标的为保税商品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14:paraId="3AE73D8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买方应在完成抽样后次日起</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工作日内且在最后交易日前一个交易日前，分别向交易所和卖方提交质检报告，买方会员通过电子仓单系统填写交收商品品质检验信息，卖方应在买方填写品质检验信息的下一个交易日闭市前对检验结果进行确认。</w:t>
      </w:r>
    </w:p>
    <w:p w14:paraId="5430C3A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卖方如对买方出具的检验结果有异议，应在买方提交检验报告的下一个交易日闭市前向交易所提出复检申请。交易所在指定质量检验机构中选取复检机构，以卸货时的抽样存样的复检结果为解决争议的依据。逾期未提出申请的，视作对检验结果无异议。</w:t>
      </w:r>
    </w:p>
    <w:p w14:paraId="6DCDD1E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卖方提出争议时，复检费用先由卖方先行垫付，复检结果与原检验结果的差异在相关标准规定的合理误差范围内的，由此产生的费用（包含检验费、差旅费等）由卖方负担；否则，该费用由买方负担。</w:t>
      </w:r>
    </w:p>
    <w:p w14:paraId="0BFB542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收标的为保税商品的，交易所为卖方开具《保税交割结算单》（税务专用、记账专用），为买方开具《保税交割结算单》（记账专用），作为客户申报纳税的凭据；对于有报关进口需求的，交易所为买方开具《保税交割结算单》（报关专用），作为买方办理进口报关的凭据。《保税交割结算单》中除了价格信息外，还包括仓库名称、实际数量、交割时间、交割方式、保税升贴水信息等内容，交割方式中应当标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提货单交割</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p>
    <w:p w14:paraId="43D83B1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最后交易日闭市前，交易所未收到《交收确认通知单》的，闭市后交易所根据不同情况按照以下规定进行处理：</w:t>
      </w:r>
    </w:p>
    <w:p w14:paraId="5960339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（一）由于买方原因导致双方无法如期完成交收确认的，交易所处以买方交割结算价计算的合约价值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的惩罚性违约金，并支付给卖方，退还卖方交割保证金，终止交割。</w:t>
      </w:r>
    </w:p>
    <w:p w14:paraId="5AA88F0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（二）由于天气、压港等原因导致双方无法如期完成交收确认的，卖方应在导致延误当日告知交易所，交易所根据实际情况确认最终交收时间。</w:t>
      </w:r>
    </w:p>
    <w:p w14:paraId="0F83276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（三）由于卖方除天气之外等原因导致双方无法如期完成交收确认的，交易所处以卖方按交割结算价计算的合约价值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的惩罚性违约金，并支付给买方，退还买方交割预付款，终止交割。</w:t>
      </w:r>
    </w:p>
    <w:p w14:paraId="358C696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（四）由于品质检验争议导致双方无法如期完成交收确认的，复检结果与大连商品交易所交割质量标准相符的，继续交割；不符合的，处以卖方按交割结算价计算的合约价值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的惩罚性违约金，并支付给买方，退还买方交割预付款，终止交割。</w:t>
      </w:r>
    </w:p>
    <w:p w14:paraId="66B5327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提货单交割违约是指在规定期限内，买方未能如数解付货款，卖方未能在规定地点如数交付符合期货交割质量标准的商品。</w:t>
      </w:r>
    </w:p>
    <w:p w14:paraId="505EF8F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买方构成交割违约的，交易所处以买方按交割结算价计算的违约部分合约价值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的惩罚性违约金，并支付给卖方，同时释放卖方的交割保证金，交割终止。</w:t>
      </w:r>
    </w:p>
    <w:p w14:paraId="6681285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买方交割违约合约数量计算公式如下：</w:t>
      </w:r>
    </w:p>
    <w:p w14:paraId="03F575F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交收标的为完税商品的，买方交割违约合约数量（手）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应交货款（元）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已交货款（元）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交割结算价（元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升贴水（元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交易单位（吨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手）。</w:t>
      </w:r>
    </w:p>
    <w:p w14:paraId="7ABA33F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交收标的为保税商品的，买方交割违约合约数量（手）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应交货款（元）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已交货款（元）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保税交割结算价（元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保税升贴水（元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交易单位（吨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手）。</w:t>
      </w:r>
    </w:p>
    <w:p w14:paraId="5468FC1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卖方构成交割违约的，交易所处以卖方按交割结算价计算的违约部分合约价值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的惩罚性违约金，并支付给买方，同时释放买方的货款，交割终止。</w:t>
      </w:r>
    </w:p>
    <w:p w14:paraId="5A9B414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卖方交割不足部分合约数量（手）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应交的商品重量（吨）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已交的重量（吨）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交易单位（吨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手）</w:t>
      </w:r>
    </w:p>
    <w:p w14:paraId="11248C4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若买卖双方都违约的，交易所对双方按交割结算价计算的违约部分合约价值</w:t>
      </w:r>
      <w:r w:rsidRPr="00726163">
        <w:rPr>
          <w:rFonts w:ascii="Times New Roman" w:eastAsia="仿宋_GB2312" w:hAnsi="Times New Roman"/>
          <w:color w:val="333333"/>
          <w:kern w:val="0"/>
          <w:sz w:val="32"/>
          <w:szCs w:val="32"/>
        </w:rPr>
        <w:t>5%</w:t>
      </w:r>
      <w:r w:rsidRPr="00726163">
        <w:rPr>
          <w:rFonts w:ascii="Times New Roman" w:eastAsia="仿宋_GB2312" w:hAnsi="Times New Roman"/>
          <w:color w:val="333333"/>
          <w:kern w:val="0"/>
          <w:sz w:val="32"/>
          <w:szCs w:val="32"/>
        </w:rPr>
        <w:t>分别处以罚款。</w:t>
      </w:r>
    </w:p>
    <w:p w14:paraId="42272656"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第四章 滚动交割</w:t>
      </w:r>
    </w:p>
    <w:p w14:paraId="72F68C3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适用滚动交割的品种由交易所在相关品种期货业务细则中规定。</w:t>
      </w:r>
    </w:p>
    <w:p w14:paraId="776D945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滚动交割是指在交割月第一个交易日至最后交易日的前一交易日期间，由持有标准仓单（已冻结的除外，下同）和交割月单向卖持仓的卖方客户主动提出，并由交易所组织匹配双方在规定时间完成交割的交割方式。</w:t>
      </w:r>
    </w:p>
    <w:p w14:paraId="41E175C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滚动交割的交割结算价采用该期货合约滚动交割配对日的当日结算价。</w:t>
      </w:r>
    </w:p>
    <w:p w14:paraId="0170EE0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滚动交割由客户提出交割申请，会员代客户办理。</w:t>
      </w:r>
    </w:p>
    <w:p w14:paraId="6467362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滚动交割流程的第一日是配对日。</w:t>
      </w:r>
    </w:p>
    <w:p w14:paraId="6694C92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号品种，只能以厂库标准仓单申报交割。</w:t>
      </w:r>
    </w:p>
    <w:p w14:paraId="74F522A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（二）买方申报意向。持有交割月单向买持仓的买方在交割月第一个交易日至最后交易日前一交易日闭市前可以向交易所申报交割意向。</w:t>
      </w:r>
    </w:p>
    <w:p w14:paraId="7B3F1976" w14:textId="77777777" w:rsidR="00726163" w:rsidRPr="00726163" w:rsidRDefault="00726163" w:rsidP="003E3461">
      <w:pPr>
        <w:shd w:val="clear" w:color="auto" w:fill="FFFFFF"/>
        <w:ind w:firstLineChars="200" w:firstLine="640"/>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液化石油气等品种期货业务细则对滚动交割配对日卖方申报交割和买方申报意向另有规定的，适用其规定。</w:t>
      </w:r>
    </w:p>
    <w:p w14:paraId="3EC0B81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配对日闭市后，交易所通过系统，按照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申报意向优先、含有建仓时间最早的持仓优先</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原则，确定参与配对的买方持仓。</w:t>
      </w:r>
    </w:p>
    <w:p w14:paraId="0262CCF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对于选取的买卖双方，交易所先以仓库为单位汇总卖方申报交割的仓单数量，在买方和仓库之间按照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最少配对数</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原则进行配对，确定买方交割对应的仓库和在该仓库交割的数量；再将配好仓库的买方与申请交割且持有该仓库仓单的卖方以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最少配对数</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原则进行配对，确定交割对应的买卖双方。配对结果一经确定，买卖双方不得变更。</w:t>
      </w:r>
    </w:p>
    <w:p w14:paraId="235E7A6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对于集团交割仓库的标准仓单，以分库为单位申报交割意向，进行交割配对。</w:t>
      </w:r>
    </w:p>
    <w:p w14:paraId="7A89696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纤维板、液化石油气等品种期货业务细则对滚动交割配对范围、配对原则和方法另有规定的，适用其规定。</w:t>
      </w:r>
    </w:p>
    <w:p w14:paraId="049D6B9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配对日闭市后，买方会员的配对买持仓的交易保证金转为交割预付款。</w:t>
      </w:r>
    </w:p>
    <w:p w14:paraId="2634306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闭市后，配对持仓从交割月合约的持仓量中扣除，不再受持仓限额限制。《交割通知单》和配对结果等滚动交割信息随配对日结算单通过会员服务系统发送给买卖双方会员，会员服务系统一经发送，即视为已经送达。配对结果等信息通过相关公共媒体和信息商对社会公众发布。</w:t>
      </w:r>
    </w:p>
    <w:p w14:paraId="3B30D48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配对结果确定后，买方应及时向卖方提供有关增值税专用发票开具内容的事项，卖方在配对日后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个交易日内将增值税专用发票交付买方。</w:t>
      </w:r>
    </w:p>
    <w:p w14:paraId="5B55157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交割增值税专用发票由交割的卖方客户向相对应的买方客户开具，客户开具的增值税专用发票由双方会员转交、领取并协助核实。</w:t>
      </w:r>
    </w:p>
    <w:p w14:paraId="6A25E77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会员迟交或未提交增值税专用发票的，按《大连商品交易所结算管理办法》有关规定处理。</w:t>
      </w:r>
    </w:p>
    <w:p w14:paraId="4B2EEED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配对日后（不含配对日）第</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个交易日为交收日。交收日闭市之前，买方会员须补齐与其配对交割月份合约持仓相对应的全额货款，办理交割手续。</w:t>
      </w:r>
    </w:p>
    <w:p w14:paraId="628DAA0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交收日闭市后，交易所将卖方交割的仓单分配给对应的配对买方。</w:t>
      </w:r>
    </w:p>
    <w:p w14:paraId="6FC105B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交收日闭市后，交易所将卖方会员提交的标准仓单交付买方会员，将货款的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付给卖方会员，余款在卖方会员提交了增值税专用发票后结清。</w:t>
      </w:r>
    </w:p>
    <w:p w14:paraId="5B06282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滚动交割违约是指在规定期限内，买方未能如数解付货款。构成交割违约的，按本办法第九章的有关规定处理，其中违约合约价值按配对日结算价计算，交割违约处理在滚动交割的交收日后进行。</w:t>
      </w:r>
    </w:p>
    <w:p w14:paraId="163E7F9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实行保税交割相关品种期货业务细则对保税标准仓单滚动交割有规定的，按照其规定执行。</w:t>
      </w:r>
    </w:p>
    <w:p w14:paraId="76B17228"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第五章 全月每日选择交割</w:t>
      </w:r>
    </w:p>
    <w:p w14:paraId="1075727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适用全月每日选择交割的品种由交易所在相关品种期货业务细则中规定。</w:t>
      </w:r>
    </w:p>
    <w:p w14:paraId="04B5753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全月每日选择交割是指在交割月第一个交易日至最后交易日的前一交易日，由符合相关品种期货业务细则规定条件的持有交割月单向卖持仓的卖方客户主动提出标准仓单交割或者车板交割申请，并由交易所组织匹配买卖双方在规定时间完成交割的交割方式。</w:t>
      </w:r>
    </w:p>
    <w:p w14:paraId="405F3A2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全月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14:paraId="20464B8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全月每日选择交割的交割结算价采用该期货合约全月每日选择交割配对日的当日结算价。</w:t>
      </w:r>
    </w:p>
    <w:p w14:paraId="43CC225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全月每日选择交割由客户提出交割申请，会员代客户办理。</w:t>
      </w:r>
    </w:p>
    <w:p w14:paraId="094ECC4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全月每日选择交割流程的第一日是配对日。</w:t>
      </w:r>
    </w:p>
    <w:p w14:paraId="2EFED99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卖方申报交割。进入交割月后，卖方客户可以通过会员提出交割申请，会员在交割月第一个交易日至最后交易日的前一交易日，均可向交易所申报交割。其中，采用标准仓单交割的，会员应当在上述每个交易日闭市前申报；采用车板交割的，会员应当在上述每个交易日</w:t>
      </w:r>
      <w:r w:rsidRPr="00726163">
        <w:rPr>
          <w:rFonts w:ascii="Times New Roman" w:eastAsia="仿宋_GB2312" w:hAnsi="Times New Roman"/>
          <w:color w:val="333333"/>
          <w:kern w:val="0"/>
          <w:sz w:val="32"/>
          <w:szCs w:val="32"/>
        </w:rPr>
        <w:t>11:30</w:t>
      </w:r>
      <w:r w:rsidRPr="00726163">
        <w:rPr>
          <w:rFonts w:ascii="Times New Roman" w:eastAsia="仿宋_GB2312" w:hAnsi="Times New Roman"/>
          <w:color w:val="333333"/>
          <w:kern w:val="0"/>
          <w:sz w:val="32"/>
          <w:szCs w:val="32"/>
        </w:rPr>
        <w:t>前申报，交易所于当日闭市前完成审核。提出交割申请的相应标准仓单予以冻结，其卖持仓对应的交易保证金不予清退。</w:t>
      </w:r>
    </w:p>
    <w:p w14:paraId="01EE58F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（二）买方申报意向。持有交割月单向买持仓的买方在交割月第一个交易日至最后交易日的前一交易日闭市前可以向交易所申报交割意向。</w:t>
      </w:r>
    </w:p>
    <w:p w14:paraId="2FD8A14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配对日闭市后，交易所通过系统，按照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申报意向优先、含有建仓时间最早的持仓优先</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原则，确定参与配对的买方持仓。</w:t>
      </w:r>
    </w:p>
    <w:p w14:paraId="24B0D41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对于选取的买卖双方，交易所先以交割仓库或者车板交割场所为单位汇总卖方申报交割的数量，在买方和交割仓库或者车板交割场所之间按照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最少配对数</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进行配对，确定买方交割对应的交割仓库或者车板交割场所，以及在该交割仓库或者车板交割场所交割的数量；再将配好交割仓库或者车板交割场所的买方，与申请交割且持有该交割仓库标准仓单或者具有车板交割资格并经交易所审核通过的卖方，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最少配对数</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原则进行配对，确定交割对应的买卖双方。配对结果一经确定，买卖双方不得变更。</w:t>
      </w:r>
    </w:p>
    <w:p w14:paraId="2EC4CA3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配对日闭市后，买方会员配对买持仓的交易保证金转为交割预付款，卖方会员配对卖持仓的交易保证金转为交割保证金。</w:t>
      </w:r>
    </w:p>
    <w:p w14:paraId="4E8EC71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闭市后，配对持仓从交割月合约的持仓量中扣除。《交割通知单》和配对结果等全月每日选择交割信息随配对日结算单通过会员服务系统发送给买卖双方会员，会员服务系统一经发送，即视为已经送达。配对结果等信息通过相关公共媒体和信息商对社会公众发布。</w:t>
      </w:r>
    </w:p>
    <w:p w14:paraId="5677D9A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配对日后</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个交易日内，买方会员应按税务机关的规定将开具增值税普通发票的具体事项通知卖方会员，卖方会员在交易所支付</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货款后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个交易日内将实际交割货物相应的增值税普通发票交付买方会员。</w:t>
      </w:r>
    </w:p>
    <w:p w14:paraId="4EE4B20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交割增值税普通发票由交割的卖方客户向相对应的买方客户开具，客户开具的增值税普通发票由双方会员转交、领取并协助核实。</w:t>
      </w:r>
    </w:p>
    <w:p w14:paraId="368EADC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会员迟交或未提交增值税普通发票的，按《大连商品交易所结算管理办法》有关规定处理。</w:t>
      </w:r>
    </w:p>
    <w:p w14:paraId="1AAC9E9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配对日后第</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个交易日为交收日。</w:t>
      </w:r>
    </w:p>
    <w:p w14:paraId="6B4C68F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经配对采用标准仓单交割的，交收日闭市前，买方会员应当补齐与其配对交割月份合约持仓相对应的全额货款（包括非基准交割仓库与基准交割仓库的升贴水）；交收日闭市后，交易所将卖方交割的标准仓单过户给对应的配对买方。交易所向卖方会员支付货款的具体规定见相关品种期货业务细则。</w:t>
      </w:r>
    </w:p>
    <w:p w14:paraId="6D636CF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经配对采用车板交割的，交收日闭市前，买方会员应当补齐与其配对交割月份合约持仓相对应的全额货款（包括指定车板交割场所升贴水）；交收日闭市后，交易所将车板交割配对结果通知相应的指定车板交割场所及指定质量检验机构。交易所向卖方会员支付货款以及买卖双方货物交收的具体规定见相关品种期货业务细则。</w:t>
      </w:r>
    </w:p>
    <w:p w14:paraId="1A59655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车板交割的货款收付和货物交收，买卖双方可以协商自行办理，并应当在交收日闭市前通过会员向交易所提交相关协议和情况说明。</w:t>
      </w:r>
    </w:p>
    <w:p w14:paraId="72920B2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如果买卖双方协商自行办理货款收付，则交易所在交收日闭市后清退卖方会员交割保证金，退还买方会员交割预付款，交易所不再负责办理货款收付以及相关的货物交收和发票流转等业务，对买卖双方的货款收付、货物交收和发票流转不承担担保责任。</w:t>
      </w:r>
    </w:p>
    <w:p w14:paraId="67C1DE3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如果买卖双方协商自行办理货物交收，但通过交易所办理货款收付，则买方会员应当在交收日闭市前补足全额货款，交易所按照相关品种期货业务细则规定的时间将全额货款划转至卖方会员，交易所对买卖双方的货款收付、货物交收和相关发票流转不承担担保责任。</w:t>
      </w:r>
    </w:p>
    <w:p w14:paraId="1377775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全月每日选择交割流程下，标准仓单交割违约按照本办法第九章有关规定处理，车板交割违约按照相关品种期货业务细则规定处理。</w:t>
      </w:r>
    </w:p>
    <w:p w14:paraId="692A32BF"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第六章 一次性交割</w:t>
      </w:r>
    </w:p>
    <w:p w14:paraId="12E9CA0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交易所上市的所有商品期货合约适用一次性交割。</w:t>
      </w:r>
    </w:p>
    <w:p w14:paraId="2DF8B6C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一次性交割是指在合约最后交易日后，交易所组织所有未平仓合约持有者进行交割的交割方式。</w:t>
      </w:r>
    </w:p>
    <w:p w14:paraId="3987CAC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一次性交割在</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交易日内完成，分别为标准仓单提交日、配对日和交收日（最后交割日）。在合约最后交易日后，所有未平仓合约的持有者须以交割履约，同一客户号买卖持仓相对应部分的持仓视为自动平仓，不予办理交割，平仓价按一次性交割的交割结算价计算。</w:t>
      </w:r>
    </w:p>
    <w:p w14:paraId="297B04C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一次性交割的交割结算价采用该期货合约自交割月第一个交易日起至最后交易日所有成交价格的加权平均价。鸡蛋、乙二醇、苯乙烯、液化石油气等品种期货业务细则</w:t>
      </w:r>
      <w:bookmarkStart w:id="2" w:name="_Hlk531714629"/>
      <w:r w:rsidRPr="00726163">
        <w:rPr>
          <w:rFonts w:ascii="Times New Roman" w:eastAsia="仿宋_GB2312" w:hAnsi="Times New Roman"/>
          <w:color w:val="333333"/>
          <w:kern w:val="0"/>
          <w:sz w:val="32"/>
          <w:szCs w:val="32"/>
        </w:rPr>
        <w:t>对一次性交割的交割结算价</w:t>
      </w:r>
      <w:bookmarkEnd w:id="2"/>
      <w:r w:rsidRPr="00726163">
        <w:rPr>
          <w:rFonts w:ascii="Times New Roman" w:eastAsia="仿宋_GB2312" w:hAnsi="Times New Roman"/>
          <w:color w:val="333333"/>
          <w:kern w:val="0"/>
          <w:sz w:val="32"/>
          <w:szCs w:val="32"/>
        </w:rPr>
        <w:t>另有规定的，适用其规定。</w:t>
      </w:r>
    </w:p>
    <w:p w14:paraId="6F72B03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最后交易日闭市后，交易所将交割月份买持仓的交易保证金转为交割预付款。</w:t>
      </w:r>
    </w:p>
    <w:p w14:paraId="1DDE0B3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一次性交割流程第一日是标准仓单提交日。</w:t>
      </w:r>
    </w:p>
    <w:p w14:paraId="6A61E8E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14:paraId="49315D5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号等品种，卖方会员还应当按照其品种期货业务细则的规定提交其他材料。</w:t>
      </w:r>
    </w:p>
    <w:p w14:paraId="05D6572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一次性交割流程第二日是配对日。</w:t>
      </w:r>
    </w:p>
    <w:p w14:paraId="0ADB364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最后交易日后第二个交易日闭市前，买方可以根据交易所公布的信息，提出交割意向申报。买方可以申报两个交割意向</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包括第一意向和第二意向。闭市后交易所分配标准仓单时，将保税标准仓单按照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境外买方客户优先</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意向优先</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w:t>
      </w:r>
    </w:p>
    <w:p w14:paraId="16BD64C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配对日闭市后，交易所按照如下原则和步骤进行交割配对：</w:t>
      </w:r>
    </w:p>
    <w:p w14:paraId="7AD1231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第一步：汇总标准仓单。交易所以仓库为单位汇总卖方的标准仓单；</w:t>
      </w:r>
    </w:p>
    <w:p w14:paraId="443B93D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平均持仓时间长优先</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的原则确定参与交割配对的境外买方。然后将意愿未被满足的境外买方持仓和未分配的保税标准仓单，以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最少配对数</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原则进行分配，确定境外买方交割对应的保税交割仓库和在该仓库交割的数量。</w:t>
      </w:r>
    </w:p>
    <w:p w14:paraId="3CA3E71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平均持仓时间长优先</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的原则确定参与交割配对的买方。</w:t>
      </w:r>
    </w:p>
    <w:p w14:paraId="76E52F7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其中：平均持仓时间是以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天</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为单位，每手持仓时间的加权平均数。平均持仓时间相同的，持有建仓时间早的买方优先。具体公式为：</w:t>
      </w:r>
    </w:p>
    <w:p w14:paraId="515B3828" w14:textId="77777777" w:rsidR="00726163" w:rsidRPr="00726163" w:rsidRDefault="00726163" w:rsidP="003E3461">
      <w:pPr>
        <w:shd w:val="clear" w:color="auto" w:fill="FFFFFF"/>
        <w:jc w:val="cente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w:t>
      </w:r>
      <w:r w:rsidRPr="00726163">
        <w:rPr>
          <w:rFonts w:ascii="Times New Roman" w:eastAsia="仿宋_GB2312" w:hAnsi="Times New Roman"/>
          <w:color w:val="333333"/>
          <w:kern w:val="0"/>
          <w:sz w:val="32"/>
          <w:szCs w:val="32"/>
        </w:rPr>
        <w:t>买方每手持仓时间</w:t>
      </w:r>
    </w:p>
    <w:p w14:paraId="33863278" w14:textId="77777777" w:rsidR="00726163" w:rsidRPr="00726163" w:rsidRDefault="00726163" w:rsidP="003E3461">
      <w:pPr>
        <w:shd w:val="clear" w:color="auto" w:fill="FFFFFF"/>
        <w:jc w:val="cente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买方平均持仓时间</w:t>
      </w:r>
      <w:r w:rsidRPr="00726163">
        <w:rPr>
          <w:rFonts w:ascii="Times New Roman" w:eastAsia="仿宋_GB2312" w:hAnsi="Times New Roman"/>
          <w:color w:val="333333"/>
          <w:kern w:val="0"/>
          <w:sz w:val="32"/>
          <w:szCs w:val="32"/>
        </w:rPr>
        <w:t>= ────────────</w:t>
      </w:r>
    </w:p>
    <w:p w14:paraId="3E4AFA90" w14:textId="77777777" w:rsidR="00726163" w:rsidRPr="00726163" w:rsidRDefault="00726163" w:rsidP="003E3461">
      <w:pPr>
        <w:shd w:val="clear" w:color="auto" w:fill="FFFFFF"/>
        <w:jc w:val="cente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买方总持仓量</w:t>
      </w:r>
    </w:p>
    <w:p w14:paraId="5D7B3F6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交易所将满足买方意向后剩余的仓库仓单，与未提交割意向和所提交割意向未被满足的买方持仓，按照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最少配对数</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原则进行配对，确定买方交割对应的仓库和在该仓库交割的数量。</w:t>
      </w:r>
    </w:p>
    <w:p w14:paraId="5C3C2B2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第四步，匹配买卖双方。交易所将配好仓库的买方与持有该仓库仓单的卖方以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最少配对数</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原则进行配对，确定交割对应的买卖双方。</w:t>
      </w:r>
    </w:p>
    <w:p w14:paraId="0B4F939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对于集团交割仓库的标准仓单，以分库为单位申报交割意向，进行交割配对。</w:t>
      </w:r>
    </w:p>
    <w:p w14:paraId="06DDD25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配对结果一经确定，买卖双方不得变更。配对结果等信息通过会员服务系统发送给买卖双方会员，会员服务系统一经发送，即视为已经送达。</w:t>
      </w:r>
    </w:p>
    <w:p w14:paraId="06DAF5D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一次性交割流程第三日是交收日，即最后交割日（最后交易日后第三个交易日）。</w:t>
      </w:r>
    </w:p>
    <w:p w14:paraId="1916600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最后交割日闭市前，买方会员应当补齐与其交割月份合约持仓相对应的差额货款。</w:t>
      </w:r>
    </w:p>
    <w:p w14:paraId="0A6F7A8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最后交割日闭市后，交易所将卖方会员提交的标准仓单交付买方会员，将货款的</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付给卖方会员，余款在卖方会员提交了发票后结清。黄大豆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号、铁矿石和鸡蛋等品种期货业务细则对货款支付另有规定的，适用其规定。</w:t>
      </w:r>
    </w:p>
    <w:p w14:paraId="71BBB85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配对结果确定后，买方应当在配对日后</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个交易日内，按照税务机关的规定将开具发票的具体事项，包括购货单位名称、地址、金额、纳税人登记号等信息通知卖方。交收标的为保税铁矿石的除外。</w:t>
      </w:r>
    </w:p>
    <w:p w14:paraId="499D0AF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卖方会员应当在配对日后</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个交易日内将发票交付买方会员。黄大豆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号、铁矿石和鸡蛋等品种期货业务细则对发票交付另有规定的，适用其规定。</w:t>
      </w:r>
    </w:p>
    <w:p w14:paraId="28BAD30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发票由交割的卖方客户向相对应的买方客户开具，并由双方会员转交、领取并协助核实。</w:t>
      </w:r>
    </w:p>
    <w:p w14:paraId="223F05A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会员迟交或未提交交易所规定的发票的，按《大连商品交易所结算管理办法》有关规定处理。</w:t>
      </w:r>
    </w:p>
    <w:p w14:paraId="66C84AB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铁矿石等品种期货业务细则对发票开具方式另有规定的，适用其规定。</w:t>
      </w:r>
    </w:p>
    <w:p w14:paraId="2CE6CB5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实行保税交割相关品种期货业务细则对保税标准仓单一次性交割有规定的，按照其规定执行。</w:t>
      </w:r>
    </w:p>
    <w:p w14:paraId="2D1363F5"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第七章 保税交割</w:t>
      </w:r>
    </w:p>
    <w:p w14:paraId="5BEE6CF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保税交割是指以海关特殊监管区域或保税监管场所内处于保税监管状态的期货合约所载商品作为交割标的物进行期货交割的过程。</w:t>
      </w:r>
    </w:p>
    <w:p w14:paraId="64D6499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保税交割仓库是指经交易所审定注册的，具有保税功能，为期货合约履行保税交割的指定交割地点。</w:t>
      </w:r>
    </w:p>
    <w:p w14:paraId="0BD12EB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保税标准仓单是指由交易所统一制定的，指定保税交割仓库按照交易所规定的程序为保税商品提交注册申请后，经交易所注册的符合期货合约规定质量标准的实物提货凭证。</w:t>
      </w:r>
    </w:p>
    <w:p w14:paraId="72FA2A0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实行保税交割的品种由交易所另行公布，其实物交割可用保税标准仓单或完税标准仓单。</w:t>
      </w:r>
    </w:p>
    <w:p w14:paraId="022B189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以保税标准仓单参与交割的</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按照实行保税交割相关品种期货业务细则的有关规定办理。</w:t>
      </w:r>
    </w:p>
    <w:p w14:paraId="4A5A849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以保税商品参与提货单交割的，按照本办法第三章规定办理。</w:t>
      </w:r>
    </w:p>
    <w:p w14:paraId="0D9C54E5"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第八章 交割费用</w:t>
      </w:r>
    </w:p>
    <w:p w14:paraId="417191B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进行实物交割的双方应分别向交易所交纳交割手续费。</w:t>
      </w:r>
    </w:p>
    <w:p w14:paraId="3CF0AA2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交割手续费、取样及检验费、仓储及损耗费等费用见各品种期货业务细则规定。</w:t>
      </w:r>
    </w:p>
    <w:p w14:paraId="77BC26E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指定交割仓库的入库、出库费用实行最高限价。</w:t>
      </w:r>
    </w:p>
    <w:p w14:paraId="082D677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交易所将根据市场情况对各品种指定交割仓库的入库、出库最高费用标准进行不定期核定和公布。</w:t>
      </w:r>
    </w:p>
    <w:p w14:paraId="50E77B0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新增指定交割仓库的入库、出库最高费用标准自交易所公布之日起实施。</w:t>
      </w:r>
    </w:p>
    <w:p w14:paraId="5B678ED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指定交割仓库杂项作业服务收费实行最高限价。各指定交割仓库杂项作业服务最高收费标准由交易所制定并公布。</w:t>
      </w:r>
    </w:p>
    <w:p w14:paraId="2EE08D8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从标准仓单仓储及损耗费付止日后次日起至标准仓单注销之日止，每月发生的仓储及损耗费由交易所于下月初</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交易日内向标准仓单所属会员收取。交易所通过会员确认货主收到仓储及损耗费发票后，向指定交割仓库支付仓储及损耗费。标准仓单仓储及损耗费付止日前和标准仓单注销日后次日起，发生的仓储及损耗费用由交割仓库与货主结清。</w:t>
      </w:r>
    </w:p>
    <w:p w14:paraId="77A2345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14:paraId="24BE74E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非东北地区分库仓单，经货主选择在东北地区的对应分库提货时，相关款项结算与发票开具的具体规定由交易所另行公布。</w:t>
      </w:r>
    </w:p>
    <w:p w14:paraId="399680A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交易所可根据国家政策规定和市场情况调整以上各项费用的收费标准。交易所将及时通知会员和指定交割仓库。</w:t>
      </w:r>
    </w:p>
    <w:p w14:paraId="5DD35BB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指定交割仓库对交易所未作规定的收费项目参照有关行业规定的收费标准收取。</w:t>
      </w:r>
    </w:p>
    <w:p w14:paraId="10735B46"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第九章 交割违约</w:t>
      </w:r>
    </w:p>
    <w:p w14:paraId="3481385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具有下列行为之一的，构成交割违约：</w:t>
      </w:r>
    </w:p>
    <w:p w14:paraId="5C5B260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（一）在规定期限内，卖方未能如数交付标准仓单的；</w:t>
      </w:r>
    </w:p>
    <w:p w14:paraId="2FCE3B1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（二）在规定期限内，买方未能如数解付货款的。</w:t>
      </w:r>
    </w:p>
    <w:p w14:paraId="15BD16A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交易所对提货单交割违约、车板交割违约等另有规定的，适用其规定。</w:t>
      </w:r>
    </w:p>
    <w:p w14:paraId="121ADAD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卖方交割违约合约数量的公式为：</w:t>
      </w:r>
    </w:p>
    <w:p w14:paraId="2B4A193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卖方交割违约合约数量（手）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应交标准仓单数量（手）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已交标准仓单数量（手）</w:t>
      </w:r>
    </w:p>
    <w:p w14:paraId="54B6F64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买方交割违约合约数量按以下公式计算：</w:t>
      </w:r>
    </w:p>
    <w:p w14:paraId="0A13CA3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买方接到的是完税标准仓单的：买方交割违约合约数量（手）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应交货款（元）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已交货款（元）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交割结算价（元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非基准交割仓库与基准交割仓库的升贴水（元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交易单位（吨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手）。</w:t>
      </w:r>
    </w:p>
    <w:p w14:paraId="34410BC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买方接到的是保税标准仓单的：买方交割违约合约数量（手）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保税应交货款（元）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已交货款（元）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保税交割结算价（元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非基准交割仓库与基准交割仓库的升贴水（元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进口增值税税率</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进口关税税率</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交易单位（吨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手）。</w:t>
      </w:r>
    </w:p>
    <w:p w14:paraId="3E6C9CF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买方接到的是铁矿石保税标准仓单的：买方交割违约合约数量（手）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保税应交货款（元）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已交货款（元）</w:t>
      </w:r>
      <w:r w:rsidRPr="00726163">
        <w:rPr>
          <w:rFonts w:ascii="Times New Roman" w:eastAsia="仿宋_GB2312" w:hAnsi="Times New Roman"/>
          <w:color w:val="333333"/>
          <w:kern w:val="0"/>
          <w:sz w:val="32"/>
          <w:szCs w:val="32"/>
        </w:rPr>
        <w:t>]÷ [</w:t>
      </w:r>
      <w:r w:rsidRPr="00726163">
        <w:rPr>
          <w:rFonts w:ascii="Times New Roman" w:eastAsia="仿宋_GB2312" w:hAnsi="Times New Roman"/>
          <w:color w:val="333333"/>
          <w:kern w:val="0"/>
          <w:sz w:val="32"/>
          <w:szCs w:val="32"/>
        </w:rPr>
        <w:t>保税交割结算价（元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保税升贴水（元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交易单位（吨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手）。</w:t>
      </w:r>
    </w:p>
    <w:p w14:paraId="67CD9B5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发生交割违约后，交易所于合约最后交割日（滚动交割的交收日）结算后通知违约方和相对应的守约方。违约通知通过会员服务系统随当日结算数据发送，会员服务系统一经发送，即视为已经送达。</w:t>
      </w:r>
    </w:p>
    <w:p w14:paraId="55CE72D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构成交割违约的</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由违约方支付违约部分合约价值</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的违约金给守约方</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买卖双方终止交割。</w:t>
      </w:r>
    </w:p>
    <w:p w14:paraId="6C18681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按本办法规定出现终止交割情形时，交易所的担保责任了结。</w:t>
      </w:r>
    </w:p>
    <w:p w14:paraId="7F5E06D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若买卖双方都违约的，交易所按终止交割处理，并对双方分别处以违约部分合约价值</w:t>
      </w:r>
      <w:r w:rsidRPr="00726163">
        <w:rPr>
          <w:rFonts w:ascii="Times New Roman" w:eastAsia="仿宋_GB2312" w:hAnsi="Times New Roman"/>
          <w:color w:val="333333"/>
          <w:kern w:val="0"/>
          <w:sz w:val="32"/>
          <w:szCs w:val="32"/>
        </w:rPr>
        <w:t>5%</w:t>
      </w:r>
      <w:r w:rsidRPr="00726163">
        <w:rPr>
          <w:rFonts w:ascii="Times New Roman" w:eastAsia="仿宋_GB2312" w:hAnsi="Times New Roman"/>
          <w:color w:val="333333"/>
          <w:kern w:val="0"/>
          <w:sz w:val="32"/>
          <w:szCs w:val="32"/>
        </w:rPr>
        <w:t>的罚款。</w:t>
      </w:r>
    </w:p>
    <w:p w14:paraId="5539EAE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会员发生部分交割违约时</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违约会员所接标准仓单或所得货款可用于违约处理。</w:t>
      </w:r>
    </w:p>
    <w:p w14:paraId="29F6918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会员在实物交割环节上蓄意违约的，按《大连商品交易所违规处理办法》第二十九条规定执行。</w:t>
      </w:r>
    </w:p>
    <w:p w14:paraId="733A363E"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第十章 附则</w:t>
      </w:r>
    </w:p>
    <w:p w14:paraId="1B3FE3E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交易所在夜盘交易小节不办理交割及标准仓单、非标准仓单、提货单等相关业务。</w:t>
      </w:r>
    </w:p>
    <w:p w14:paraId="7D18019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违反本办法规定的，则交易所按《大连商品交易所违规处理办法》的有关规定处理。</w:t>
      </w:r>
    </w:p>
    <w:p w14:paraId="1D01FFC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各品种期货业务细则有特别规定的，适用其规定。</w:t>
      </w:r>
    </w:p>
    <w:p w14:paraId="70BE744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本办法的解释权属于大连商品交易所。</w:t>
      </w:r>
    </w:p>
    <w:p w14:paraId="55805CE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本办法自公布之日起实施。</w:t>
      </w:r>
    </w:p>
    <w:p w14:paraId="3877F27D"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sectPr w:rsidR="00726163" w:rsidRPr="00726163">
          <w:pgSz w:w="11906" w:h="16838"/>
          <w:pgMar w:top="1440" w:right="1800" w:bottom="1440" w:left="1800" w:header="851" w:footer="992" w:gutter="0"/>
          <w:cols w:space="425"/>
          <w:docGrid w:type="lines" w:linePitch="312"/>
        </w:sectPr>
      </w:pPr>
    </w:p>
    <w:p w14:paraId="6C9E7B93" w14:textId="21492C08" w:rsidR="00726163" w:rsidRPr="00726163" w:rsidRDefault="00726163" w:rsidP="003E3461">
      <w:pPr>
        <w:spacing w:line="580" w:lineRule="exact"/>
        <w:jc w:val="left"/>
        <w:rPr>
          <w:rFonts w:ascii="Times New Roman" w:eastAsia="仿宋_GB2312" w:hAnsi="Times New Roman"/>
          <w:sz w:val="32"/>
          <w:szCs w:val="32"/>
        </w:rPr>
      </w:pPr>
      <w:r w:rsidRPr="00726163">
        <w:rPr>
          <w:rFonts w:ascii="Times New Roman" w:eastAsia="仿宋_GB2312" w:hAnsi="Times New Roman"/>
          <w:sz w:val="32"/>
          <w:szCs w:val="32"/>
        </w:rPr>
        <w:t>附件</w:t>
      </w:r>
      <w:r w:rsidRPr="00726163">
        <w:rPr>
          <w:rFonts w:ascii="Times New Roman" w:eastAsia="仿宋_GB2312" w:hAnsi="Times New Roman"/>
          <w:sz w:val="32"/>
          <w:szCs w:val="32"/>
        </w:rPr>
        <w:t>3</w:t>
      </w:r>
      <w:r w:rsidR="00292285">
        <w:rPr>
          <w:rFonts w:ascii="Times New Roman" w:eastAsia="仿宋_GB2312" w:hAnsi="Times New Roman" w:hint="eastAsia"/>
          <w:sz w:val="32"/>
          <w:szCs w:val="32"/>
        </w:rPr>
        <w:t>：</w:t>
      </w:r>
    </w:p>
    <w:p w14:paraId="16F7B243" w14:textId="77777777" w:rsidR="00726163" w:rsidRPr="00726163" w:rsidRDefault="00726163" w:rsidP="003E3461">
      <w:pPr>
        <w:spacing w:line="580" w:lineRule="exact"/>
        <w:jc w:val="left"/>
        <w:rPr>
          <w:rFonts w:ascii="Times New Roman" w:eastAsia="仿宋_GB2312" w:hAnsi="Times New Roman"/>
          <w:sz w:val="32"/>
          <w:szCs w:val="32"/>
        </w:rPr>
      </w:pPr>
    </w:p>
    <w:p w14:paraId="377E718F"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《大连商品交易所标准仓单管理办法》</w:t>
      </w:r>
    </w:p>
    <w:p w14:paraId="08D73DCA"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修正案</w:t>
      </w:r>
    </w:p>
    <w:p w14:paraId="446A22C2"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36C4450B"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第六条</w:t>
      </w:r>
      <w:r w:rsidRPr="00726163">
        <w:rPr>
          <w:rFonts w:ascii="Times New Roman" w:eastAsia="仿宋_GB2312" w:hAnsi="Times New Roman"/>
          <w:color w:val="000000"/>
          <w:kern w:val="0"/>
          <w:sz w:val="32"/>
          <w:szCs w:val="32"/>
        </w:rPr>
        <w:t xml:space="preserve"> </w:t>
      </w:r>
      <w:r w:rsidRPr="00726163">
        <w:rPr>
          <w:rFonts w:ascii="Times New Roman" w:eastAsia="仿宋_GB2312" w:hAnsi="Times New Roman"/>
          <w:color w:val="000000"/>
          <w:kern w:val="0"/>
          <w:sz w:val="32"/>
          <w:szCs w:val="32"/>
        </w:rPr>
        <w:t>标准仓单自交易所注册之日起生效。经交易所注册后，标准仓单可用于交割、交易、转让、提货、作为保证金等。黄大豆</w:t>
      </w:r>
      <w:r w:rsidRPr="00726163">
        <w:rPr>
          <w:rFonts w:ascii="Times New Roman" w:eastAsia="仿宋_GB2312" w:hAnsi="Times New Roman"/>
          <w:color w:val="000000"/>
          <w:kern w:val="0"/>
          <w:sz w:val="32"/>
          <w:szCs w:val="32"/>
        </w:rPr>
        <w:t>2</w:t>
      </w:r>
      <w:r w:rsidRPr="00726163">
        <w:rPr>
          <w:rFonts w:ascii="Times New Roman" w:eastAsia="仿宋_GB2312" w:hAnsi="Times New Roman"/>
          <w:color w:val="000000"/>
          <w:kern w:val="0"/>
          <w:sz w:val="32"/>
          <w:szCs w:val="32"/>
        </w:rPr>
        <w:t>号、鸡蛋、苯乙烯</w:t>
      </w:r>
      <w:r w:rsidRPr="00726163">
        <w:rPr>
          <w:rFonts w:ascii="Times New Roman" w:eastAsia="仿宋_GB2312" w:hAnsi="Times New Roman"/>
          <w:color w:val="000000"/>
          <w:kern w:val="0"/>
          <w:sz w:val="32"/>
          <w:szCs w:val="32"/>
          <w:shd w:val="pct15" w:color="auto" w:fill="FFFFFF"/>
        </w:rPr>
        <w:t>、液化石油气</w:t>
      </w:r>
      <w:r w:rsidRPr="00726163">
        <w:rPr>
          <w:rFonts w:ascii="Times New Roman" w:eastAsia="仿宋_GB2312" w:hAnsi="Times New Roman"/>
          <w:color w:val="000000"/>
          <w:kern w:val="0"/>
          <w:sz w:val="32"/>
          <w:szCs w:val="32"/>
        </w:rPr>
        <w:t>等品种期货业务细则对标准仓单使用另有规定的，适用其规定。</w:t>
      </w:r>
    </w:p>
    <w:p w14:paraId="2299854C"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第十一条</w:t>
      </w:r>
      <w:r w:rsidRPr="00726163">
        <w:rPr>
          <w:rFonts w:ascii="Times New Roman" w:eastAsia="仿宋_GB2312" w:hAnsi="Times New Roman"/>
          <w:color w:val="000000"/>
          <w:kern w:val="0"/>
          <w:sz w:val="32"/>
          <w:szCs w:val="32"/>
        </w:rPr>
        <w:t xml:space="preserve"> </w:t>
      </w:r>
      <w:r w:rsidRPr="00726163">
        <w:rPr>
          <w:rFonts w:ascii="Times New Roman" w:eastAsia="仿宋_GB2312" w:hAnsi="Times New Roman"/>
          <w:dstrike/>
          <w:color w:val="000000"/>
          <w:kern w:val="0"/>
          <w:sz w:val="32"/>
          <w:szCs w:val="32"/>
        </w:rPr>
        <w:t>交易所上市的所有商品期货合约都可以注册仓库标准仓单。</w:t>
      </w:r>
      <w:r w:rsidRPr="00726163">
        <w:rPr>
          <w:rFonts w:ascii="Times New Roman" w:eastAsia="仿宋_GB2312" w:hAnsi="Times New Roman"/>
          <w:color w:val="000000"/>
          <w:kern w:val="0"/>
          <w:sz w:val="32"/>
          <w:szCs w:val="32"/>
          <w:shd w:val="pct15" w:color="auto" w:fill="FFFFFF"/>
        </w:rPr>
        <w:t>注册仓库标准仓单的品种由交易所在相关品种期货业务细则中规定。</w:t>
      </w:r>
    </w:p>
    <w:p w14:paraId="769B8754" w14:textId="77777777" w:rsidR="00726163" w:rsidRPr="00726163" w:rsidRDefault="00726163" w:rsidP="003E3461">
      <w:pPr>
        <w:ind w:firstLine="66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第二十七条</w:t>
      </w:r>
      <w:r w:rsidRPr="00726163">
        <w:rPr>
          <w:rFonts w:ascii="Times New Roman" w:eastAsia="仿宋_GB2312" w:hAnsi="Times New Roman"/>
          <w:color w:val="000000"/>
          <w:sz w:val="32"/>
          <w:szCs w:val="32"/>
        </w:rPr>
        <w:t xml:space="preserve"> </w:t>
      </w:r>
      <w:r w:rsidRPr="00726163">
        <w:rPr>
          <w:rFonts w:ascii="Times New Roman" w:eastAsia="仿宋_GB2312" w:hAnsi="Times New Roman"/>
          <w:color w:val="000000"/>
          <w:sz w:val="32"/>
          <w:szCs w:val="32"/>
        </w:rPr>
        <w:t>标准仓单转让应当通过会员提交标准仓单转让申请，办理过户手续，同时结清有关费用。未办理过户手续而转让的标准仓单，发生的一切后果由标准仓单持有人自负。苯乙烯</w:t>
      </w:r>
      <w:r w:rsidRPr="00726163">
        <w:rPr>
          <w:rFonts w:ascii="Times New Roman" w:eastAsia="仿宋_GB2312" w:hAnsi="Times New Roman"/>
          <w:color w:val="000000"/>
          <w:sz w:val="32"/>
          <w:szCs w:val="32"/>
          <w:shd w:val="pct15" w:color="auto" w:fill="FFFFFF"/>
        </w:rPr>
        <w:t>、液化石油气</w:t>
      </w:r>
      <w:r w:rsidRPr="00726163">
        <w:rPr>
          <w:rFonts w:ascii="Times New Roman" w:eastAsia="仿宋_GB2312" w:hAnsi="Times New Roman"/>
          <w:color w:val="000000"/>
          <w:sz w:val="32"/>
          <w:szCs w:val="32"/>
        </w:rPr>
        <w:t>等品种期货业务细则对标准仓单转让申请另有规定的，适用其规定。</w:t>
      </w:r>
    </w:p>
    <w:p w14:paraId="47A38FBC" w14:textId="77777777" w:rsidR="00726163" w:rsidRPr="00726163" w:rsidRDefault="00726163" w:rsidP="003E3461">
      <w:pPr>
        <w:ind w:firstLine="66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w:t>
      </w:r>
    </w:p>
    <w:p w14:paraId="68CE00A0"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726163">
        <w:rPr>
          <w:rFonts w:ascii="Times New Roman" w:eastAsia="仿宋_GB2312" w:hAnsi="Times New Roman"/>
          <w:color w:val="000000"/>
          <w:kern w:val="0"/>
          <w:sz w:val="32"/>
          <w:szCs w:val="32"/>
          <w:shd w:val="pct15" w:color="auto" w:fill="FFFFFF"/>
        </w:rPr>
        <w:t>第六十二条</w:t>
      </w:r>
      <w:r w:rsidRPr="00726163">
        <w:rPr>
          <w:rFonts w:ascii="Times New Roman" w:eastAsia="仿宋_GB2312" w:hAnsi="Times New Roman"/>
          <w:color w:val="000000"/>
          <w:kern w:val="0"/>
          <w:sz w:val="32"/>
          <w:szCs w:val="32"/>
          <w:shd w:val="pct15" w:color="auto" w:fill="FFFFFF"/>
        </w:rPr>
        <w:t xml:space="preserve"> </w:t>
      </w:r>
      <w:r w:rsidRPr="00726163">
        <w:rPr>
          <w:rFonts w:ascii="Times New Roman" w:eastAsia="仿宋_GB2312" w:hAnsi="Times New Roman"/>
          <w:color w:val="000000"/>
          <w:kern w:val="0"/>
          <w:sz w:val="32"/>
          <w:szCs w:val="32"/>
          <w:shd w:val="pct15" w:color="auto" w:fill="FFFFFF"/>
        </w:rPr>
        <w:t>对于液化石油气品种，交割商品质量争议按照以下规定处理：</w:t>
      </w:r>
    </w:p>
    <w:p w14:paraId="41FAF874"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726163">
        <w:rPr>
          <w:rFonts w:ascii="Times New Roman" w:eastAsia="仿宋_GB2312" w:hAnsi="Times New Roman"/>
          <w:color w:val="000000"/>
          <w:kern w:val="0"/>
          <w:sz w:val="32"/>
          <w:szCs w:val="32"/>
          <w:shd w:val="pct15" w:color="auto" w:fill="FFFFFF"/>
        </w:rPr>
        <w:t>液化石油气从厂库出库时，若货主按照《大连商品交易所液化石油气期货业务细则》相关规定选择取样，则货主可以对出库商品质量提出异议，申请检验样品，并以该样品的检验结果作为解决争议的依据。若未按规定选择取样，则视为对出库商品质量无异议。</w:t>
      </w:r>
    </w:p>
    <w:p w14:paraId="541A5D6B"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726163">
        <w:rPr>
          <w:rFonts w:ascii="Times New Roman" w:eastAsia="仿宋_GB2312" w:hAnsi="Times New Roman"/>
          <w:color w:val="000000"/>
          <w:kern w:val="0"/>
          <w:sz w:val="32"/>
          <w:szCs w:val="32"/>
          <w:shd w:val="pct15" w:color="auto" w:fill="FFFFFF"/>
        </w:rPr>
        <w:t>货主对出库商品质量提出异议后，首先与厂库协商解决。协商不成的，货主应当在封存样品（不含当日）后的</w:t>
      </w:r>
      <w:r w:rsidRPr="00726163">
        <w:rPr>
          <w:rFonts w:ascii="Times New Roman" w:eastAsia="仿宋_GB2312" w:hAnsi="Times New Roman"/>
          <w:color w:val="000000"/>
          <w:kern w:val="0"/>
          <w:sz w:val="32"/>
          <w:szCs w:val="32"/>
          <w:shd w:val="pct15" w:color="auto" w:fill="FFFFFF"/>
        </w:rPr>
        <w:t>2</w:t>
      </w:r>
      <w:r w:rsidRPr="00726163">
        <w:rPr>
          <w:rFonts w:ascii="Times New Roman" w:eastAsia="仿宋_GB2312" w:hAnsi="Times New Roman"/>
          <w:color w:val="000000"/>
          <w:kern w:val="0"/>
          <w:sz w:val="32"/>
          <w:szCs w:val="32"/>
          <w:shd w:val="pct15" w:color="auto" w:fill="FFFFFF"/>
        </w:rPr>
        <w:t>个交易日内，以书面形式对该样品提出检验申请。检验申请应当说明需要检验的商品数量及指标，留存联系方式，并加盖货主公章。交易所在指定质量检验机构中选取检验机构进行检验，单项质量指标的检验结果为取样当天所有样品相应指标的平均值。未在规定时间内以规定方式提出样品检验申请的，视为货主对出库商品质量无异议。检验费用由货主先行垫付。</w:t>
      </w:r>
    </w:p>
    <w:p w14:paraId="127EC590"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726163">
        <w:rPr>
          <w:rFonts w:ascii="Times New Roman" w:eastAsia="仿宋_GB2312" w:hAnsi="Times New Roman"/>
          <w:color w:val="000000"/>
          <w:kern w:val="0"/>
          <w:sz w:val="32"/>
          <w:szCs w:val="32"/>
          <w:shd w:val="pct15" w:color="auto" w:fill="FFFFFF"/>
        </w:rPr>
        <w:t>复检结果与厂库认定的交割等级相符的，由此产生的取样费、检验费、仓储费等相关费用由货主承担；复检结果与厂库认定的交割等级不相符但符合交割质量标准的，厂库按照样品检验结果与货主结算质量升贴水，由此产生的取样费、检验费、仓储费等相关费用及损失由厂库承担；复检结果不符合交割质量标准的，由双方协商解决，若协商不一致，由此产生的取样费、检验费、仓储费等相关费用及损失由厂库承担。</w:t>
      </w:r>
    </w:p>
    <w:p w14:paraId="246DEA2C" w14:textId="77777777" w:rsidR="00726163" w:rsidRPr="00726163" w:rsidRDefault="00726163" w:rsidP="003E3461">
      <w:pPr>
        <w:ind w:firstLineChars="200" w:firstLine="560"/>
        <w:rPr>
          <w:rFonts w:ascii="Times New Roman" w:eastAsia="宋体" w:hAnsi="Times New Roman"/>
          <w:szCs w:val="24"/>
        </w:rPr>
      </w:pPr>
      <w:r w:rsidRPr="00726163">
        <w:rPr>
          <w:rFonts w:ascii="Times New Roman" w:eastAsia="楷体" w:hAnsi="Times New Roman"/>
          <w:sz w:val="28"/>
          <w:szCs w:val="28"/>
        </w:rPr>
        <w:t>注：阴影部分为新增内容，双划线部分为删除内容，</w:t>
      </w:r>
      <w:r w:rsidRPr="00726163">
        <w:rPr>
          <w:rFonts w:ascii="Times New Roman" w:eastAsia="楷体" w:hAnsi="Times New Roman"/>
          <w:sz w:val="28"/>
          <w:szCs w:val="28"/>
        </w:rPr>
        <w:t>“……”</w:t>
      </w:r>
      <w:r w:rsidRPr="00726163">
        <w:rPr>
          <w:rFonts w:ascii="Times New Roman" w:eastAsia="楷体" w:hAnsi="Times New Roman"/>
          <w:sz w:val="28"/>
          <w:szCs w:val="28"/>
        </w:rPr>
        <w:t>（省略号）含义为该条款未修改的其他内容；出现条款增删的，其他条款顺序依次顺延。</w:t>
      </w:r>
    </w:p>
    <w:p w14:paraId="27BD710E" w14:textId="77777777" w:rsidR="00726163" w:rsidRPr="00726163" w:rsidRDefault="00726163" w:rsidP="003E3461">
      <w:pPr>
        <w:shd w:val="clear" w:color="auto" w:fill="FFFFFF"/>
        <w:rPr>
          <w:rFonts w:ascii="Times New Roman" w:eastAsia="仿宋_GB2312" w:hAnsi="Times New Roman"/>
          <w:sz w:val="32"/>
          <w:szCs w:val="32"/>
        </w:rPr>
        <w:sectPr w:rsidR="00726163" w:rsidRPr="00726163">
          <w:pgSz w:w="11906" w:h="16838"/>
          <w:pgMar w:top="1440" w:right="1800" w:bottom="1440" w:left="1800" w:header="851" w:footer="992" w:gutter="0"/>
          <w:cols w:space="425"/>
          <w:docGrid w:type="lines" w:linePitch="312"/>
        </w:sectPr>
      </w:pPr>
    </w:p>
    <w:p w14:paraId="29A6DC1C" w14:textId="77777777" w:rsidR="00726163" w:rsidRPr="00726163" w:rsidRDefault="00726163" w:rsidP="003E3461">
      <w:pPr>
        <w:spacing w:line="580" w:lineRule="exact"/>
        <w:jc w:val="left"/>
        <w:rPr>
          <w:rFonts w:ascii="Times New Roman" w:eastAsia="仿宋_GB2312" w:hAnsi="Times New Roman"/>
          <w:sz w:val="32"/>
          <w:szCs w:val="32"/>
        </w:rPr>
      </w:pPr>
    </w:p>
    <w:p w14:paraId="0156F697"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《大连商品交易所标准仓单管理办法》</w:t>
      </w:r>
    </w:p>
    <w:p w14:paraId="003EBF39"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修订稿</w:t>
      </w:r>
    </w:p>
    <w:p w14:paraId="023AA250"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1E71834F"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第一章 总则</w:t>
      </w:r>
    </w:p>
    <w:p w14:paraId="03C72A2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为保障大连商品交易所（以下简称交易所）期货交割业务的正常进行，加强标准仓单管理，根据《大连商品交易所交易规则》制定本办法。</w:t>
      </w:r>
    </w:p>
    <w:p w14:paraId="0AA97D8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交易所上市的商品期货合约标准仓单生成、流通、注销等业务按本办法执行。</w:t>
      </w:r>
    </w:p>
    <w:p w14:paraId="2340751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14:paraId="7AD8A1C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交易所、会员、境外经纪机构、客户、指定交割仓库、指定质量检验机构、相关银行等标准仓单业务参与者办理与标准仓单有关的各项业务应当遵守本办法。</w:t>
      </w:r>
    </w:p>
    <w:p w14:paraId="63C473B7"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第二章 一般规定</w:t>
      </w:r>
    </w:p>
    <w:p w14:paraId="0298148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标准仓单是交易所指定交割仓库按照交易所规定的程序提交注册申请后，经交易所注册的符合期货合约规定质量标准的实物提货凭证。</w:t>
      </w:r>
    </w:p>
    <w:p w14:paraId="1F57C80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标准仓单按期货商品存放地点分为仓库标准仓单和厂库标准仓单。标准仓单按期货商品完税状态分为保税标准仓单和完税标准仓单。以保税标准仓单参与交割，实行保税交割相关品种期货业务细则有规定的，按照相关规定执行。</w:t>
      </w:r>
    </w:p>
    <w:p w14:paraId="05A241C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标准仓单自交易所注册之日起生效。经交易所注册后，标准仓单可用于交割、交易、转让、提货、作为保证金等。黄大豆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号、鸡蛋、苯乙烯、液化石油气等品种期货业务细则对标准仓单使用另有规定的，适用其规定。</w:t>
      </w:r>
    </w:p>
    <w:p w14:paraId="3CC1B8A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标准仓单注册后在电子仓单系统中以电子形式存在。</w:t>
      </w:r>
    </w:p>
    <w:p w14:paraId="6ED6685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14:paraId="326E955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会员办理与标准仓单持有凭证相对应的标准仓单的交割、交易、转让、作为保证金、注销等仓单业务或者申请打印新的标准仓单持有凭证时，应当将原标准仓单持有凭证交回交易所。</w:t>
      </w:r>
    </w:p>
    <w:p w14:paraId="5765326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会员或者客户使用标准仓单对外提供担保的，应当在交易所办理标准仓单质权登记手续。未经交易所登记的，不得对外提供担保。</w:t>
      </w:r>
    </w:p>
    <w:p w14:paraId="604B91E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或者客户在开通质权行使通道的银行发生标准仓单质押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14:paraId="4E2927C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标准仓单作为保证金按照《大连商品交易所结算管理办法》有关规定执行。</w:t>
      </w:r>
    </w:p>
    <w:p w14:paraId="1BE6F2F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集团交割仓库的标准仓单应当标注分库名称。涉及集团交割仓库的交割预报、货物入库、质量检验、标准仓单注册与注销、货物出库等交割业务，由分库办理，集团交割仓库复核。</w:t>
      </w:r>
    </w:p>
    <w:p w14:paraId="06042ED3"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第三章 标准仓单的生成</w:t>
      </w:r>
    </w:p>
    <w:p w14:paraId="69850B7F" w14:textId="77777777" w:rsidR="00726163" w:rsidRPr="00726163" w:rsidRDefault="00726163" w:rsidP="003E3461">
      <w:pPr>
        <w:shd w:val="clear" w:color="auto" w:fill="FFFFFF"/>
        <w:jc w:val="cente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第一节</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仓库标准仓单</w:t>
      </w:r>
    </w:p>
    <w:p w14:paraId="301705D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注册仓库标准仓单的品种由交易所在相关品种期货业务细则中规定。</w:t>
      </w:r>
    </w:p>
    <w:p w14:paraId="7E47E8D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货主向指定交割仓库发货前，应当由会员向交易所办理交割预报。交易所应当在收到办理交割预报申请后的</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个交易日内予以答复，并按</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择优分配、统筹安排</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的原则安排指定交割仓库。货主应当向交易所安排的指定交割仓库发货。除本办法和黄大豆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号等品种期货业务细则另有规定外，未办理交割预报的商品不得用于交割。</w:t>
      </w:r>
    </w:p>
    <w:p w14:paraId="27BD455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已经交割过的商品如在原指定交割仓库继续进行交割，不需办理交割预报。</w:t>
      </w:r>
    </w:p>
    <w:p w14:paraId="231B145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会员办理交割预报时，应当交纳交割预报定金。交割预报定金见各品种期货业务细则相关规定。</w:t>
      </w:r>
    </w:p>
    <w:p w14:paraId="60E75A3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交割预报自办理之日起有效，有效期为</w:t>
      </w:r>
      <w:r w:rsidRPr="00726163">
        <w:rPr>
          <w:rFonts w:ascii="Times New Roman" w:eastAsia="仿宋_GB2312" w:hAnsi="Times New Roman"/>
          <w:color w:val="333333"/>
          <w:kern w:val="0"/>
          <w:sz w:val="32"/>
          <w:szCs w:val="32"/>
        </w:rPr>
        <w:t>30</w:t>
      </w:r>
      <w:r w:rsidRPr="00726163">
        <w:rPr>
          <w:rFonts w:ascii="Times New Roman" w:eastAsia="仿宋_GB2312" w:hAnsi="Times New Roman"/>
          <w:color w:val="333333"/>
          <w:kern w:val="0"/>
          <w:sz w:val="32"/>
          <w:szCs w:val="32"/>
        </w:rPr>
        <w:t>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14:paraId="267CD45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办理完交割预报的货主应当按照各品种期货业务细则的规定将相关信息通知指定交割仓库，指定交割仓库应当合理安排接收商品入库。</w:t>
      </w:r>
    </w:p>
    <w:p w14:paraId="1DE9BCD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交割商品入库后，会员通过电子仓单系统办理返还交割预报定金。</w:t>
      </w:r>
    </w:p>
    <w:p w14:paraId="2AFEF57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货主未向交易所安排的指定交割仓库发货的，应当重新办理交割预报，同时该批商品应当倒运到交易所新安排的指定交割仓库进行交割，由此产生的费用及出现的后果由货主承担。</w:t>
      </w:r>
    </w:p>
    <w:p w14:paraId="121B191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入库商品应当经过质量、数量或者重量的检验、检重或者检测，具体见各品种期货业务细则相关规定。入库过程中，包装不符合相关品种期货业务细则有关规定的，指定交割仓库应当拒收并及时通知货主。</w:t>
      </w:r>
    </w:p>
    <w:p w14:paraId="349E58C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入库商品质量、数量或者重量检验、验收合格的，指定交割仓库在与会员或者客户结清有关费用后，可以通过电子仓单系统提交标准仓单注册申请。</w:t>
      </w:r>
    </w:p>
    <w:p w14:paraId="39C19B5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标准仓单注册申请经会员确认后，交易所对标准仓单进行注册。</w:t>
      </w:r>
    </w:p>
    <w:p w14:paraId="5370736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达不到期货标准的商品，货主如提出委托处理，指定交割仓库可视其自身的整理能力及商品的实际情况处理，处理费用由货主承担。</w:t>
      </w:r>
    </w:p>
    <w:p w14:paraId="1C071ADF" w14:textId="77777777" w:rsidR="00726163" w:rsidRPr="00726163" w:rsidRDefault="00726163" w:rsidP="003E3461">
      <w:pPr>
        <w:shd w:val="clear" w:color="auto" w:fill="FFFFFF"/>
        <w:jc w:val="cente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第二节</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厂库标准仓单</w:t>
      </w:r>
    </w:p>
    <w:p w14:paraId="579E8D3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注册厂库标准仓单的品种由交易所在相关品种期货业务细则中规定。</w:t>
      </w:r>
    </w:p>
    <w:p w14:paraId="789B62C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会员或者客户与厂库结清货款等费用后，厂库可以通过电子仓单系统提交标准仓单注册申请。</w:t>
      </w:r>
    </w:p>
    <w:p w14:paraId="7C2914D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申请注册标准仓单的厂库应当向交易所提供交易所认可的银行履约担保函或者其它担保方式。</w:t>
      </w:r>
    </w:p>
    <w:p w14:paraId="4F10ED3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标准仓单注册申请经会员确认，且厂库已经向交易所提供相关担保后，交易所对标准仓单进行注册。</w:t>
      </w:r>
    </w:p>
    <w:p w14:paraId="57686B7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当商品市值发生较大波动时，交易所可以根据市场变化情况要求厂库调整银行履约担保函或者其它担保方式所担保的数额。</w:t>
      </w:r>
    </w:p>
    <w:p w14:paraId="5BEF4E9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单一厂库标准仓单的最大数量是指当前已注册且尚未注销的标准仓单的最大数量。</w:t>
      </w:r>
    </w:p>
    <w:p w14:paraId="06A767C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厂库标准仓单的最大数量的确定和调整，需经交易所批准并予以公布。</w:t>
      </w:r>
    </w:p>
    <w:p w14:paraId="5F44099D"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第四章 标准仓单的流通</w:t>
      </w:r>
    </w:p>
    <w:p w14:paraId="5031B63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标准仓单流通是指标准仓单用于在交易所履行合约的实物交割、标准仓单交易及标准仓单在交易所外转让。</w:t>
      </w:r>
    </w:p>
    <w:p w14:paraId="1E27F7D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标准仓单进行实物交割的，按照《大连商品交易所交割管理办法》和各品种期货业务细则相关规定办理。</w:t>
      </w:r>
    </w:p>
    <w:p w14:paraId="7E5C55E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有关标准仓单交易的组织和实施办法由交易所另行制定、公布。</w:t>
      </w:r>
    </w:p>
    <w:p w14:paraId="3758C52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转让应当通过会员提交标准仓单转让申请，办理过户手续，同时结清有关费用。未办理过户手续而转让的标准仓单，发生的一切后果由标准仓单持有人自负。苯乙烯、液化石油气等品种期货业务细则对标准仓单转让申请另有规定的，适用其规定。</w:t>
      </w:r>
    </w:p>
    <w:p w14:paraId="6391412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连商品交易所结算管理办法》相关规定执行。</w:t>
      </w:r>
    </w:p>
    <w:p w14:paraId="567DBEB9" w14:textId="77777777" w:rsidR="00726163" w:rsidRPr="00292285" w:rsidRDefault="00726163" w:rsidP="003E3461">
      <w:pPr>
        <w:shd w:val="clear" w:color="auto" w:fill="FFFFFF"/>
        <w:jc w:val="center"/>
        <w:rPr>
          <w:rFonts w:ascii="黑体" w:eastAsia="黑体" w:hAnsi="黑体"/>
          <w:color w:val="333333"/>
          <w:kern w:val="0"/>
          <w:sz w:val="32"/>
          <w:szCs w:val="32"/>
        </w:rPr>
      </w:pPr>
      <w:r w:rsidRPr="00292285">
        <w:rPr>
          <w:rFonts w:ascii="黑体" w:eastAsia="黑体" w:hAnsi="黑体"/>
          <w:color w:val="333333"/>
          <w:kern w:val="0"/>
          <w:sz w:val="32"/>
          <w:szCs w:val="32"/>
        </w:rPr>
        <w:t>第五章 标准仓单的注销</w:t>
      </w:r>
    </w:p>
    <w:p w14:paraId="310AB093" w14:textId="77777777" w:rsidR="00726163" w:rsidRPr="00726163" w:rsidRDefault="00726163" w:rsidP="003E3461">
      <w:pPr>
        <w:shd w:val="clear" w:color="auto" w:fill="FFFFFF"/>
        <w:jc w:val="cente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第一节</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仓库标准仓单</w:t>
      </w:r>
    </w:p>
    <w:p w14:paraId="0224CA6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仓库标准仓单注销是指仓库标准仓单合法持有人办理标准仓单退出流通手续的过程。</w:t>
      </w:r>
    </w:p>
    <w:p w14:paraId="587674F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标准仓单持有人注销标准仓单，应当通过会员办理。</w:t>
      </w:r>
    </w:p>
    <w:p w14:paraId="5371F88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会员到交易所申请注销标准仓单的，交易所注销相应的标准仓单，结清有关费用，并开具《提货通知单》。</w:t>
      </w:r>
    </w:p>
    <w:p w14:paraId="5657565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会员通过电子仓单系统申请注销标准仓单的，交易所注销相应的标准仓单，结清有关费用，通过电子仓单系统向会员发送提货密码，并向会员和指定交割仓库发送提货通知。</w:t>
      </w:r>
    </w:p>
    <w:p w14:paraId="6F98FE0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保税标准仓单的注销，实行保税交割相关品种期货业务细则有规定的，按照相关规定执行。</w:t>
      </w:r>
    </w:p>
    <w:p w14:paraId="5B56675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货主提货时，应当向指定交割仓库提供提货人身份证、提货人所在单位证明、《提货通知单》或者提货密码，同时与指定交割仓库结清自标准仓单注销日次日至提货日的有关费用。</w:t>
      </w:r>
    </w:p>
    <w:p w14:paraId="1CC7B7A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货主应当在交易所规定的期间内提货，逾期未提货的，标准仓单相应的期货商品转为现货，指定交割仓库不保证全部商品质量符合期货标准。</w:t>
      </w:r>
    </w:p>
    <w:p w14:paraId="34DD078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标准仓单相应的期货商品转为现货后，如需再次生成标准仓单，应当按照期货合约标准重新检验，并按照第三章第一节有关规定办理。鸡蛋等品种期货业务细则另有规定的，适用其规定。</w:t>
      </w:r>
    </w:p>
    <w:p w14:paraId="1E760CE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标准仓单应当在交易所规定的期限内进行注销，标准仓单注销期限见各品种期货业务细则相关规定。</w:t>
      </w:r>
    </w:p>
    <w:p w14:paraId="31D8B083" w14:textId="77777777" w:rsidR="00726163" w:rsidRPr="00726163" w:rsidRDefault="00726163" w:rsidP="003E3461">
      <w:pPr>
        <w:shd w:val="clear" w:color="auto" w:fill="FFFFFF"/>
        <w:jc w:val="cente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第二节</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厂库标准仓单</w:t>
      </w:r>
    </w:p>
    <w:p w14:paraId="60F861D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厂库标准仓单注销是指厂库标准仓单合法持有人办理标准仓单退出流通手续的过程。</w:t>
      </w:r>
    </w:p>
    <w:p w14:paraId="33CE3D3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标准仓单持有人注销标准仓单，应当通过会员办理。</w:t>
      </w:r>
    </w:p>
    <w:p w14:paraId="0A0E2A3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会员到交易所申请注销标准仓单的，交易所注销相应的标准仓单，结清有关费用，并开具《提货通知单》。</w:t>
      </w:r>
    </w:p>
    <w:p w14:paraId="5C772AC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会员通过电子仓单系统申请注销标准仓单的，交易所注销相应的标准仓单，结清有关费用，通过电子仓单系统向会员发送提货密码，并向会员和厂库发送提货通知。</w:t>
      </w:r>
    </w:p>
    <w:p w14:paraId="62B1964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货主提货时，应当向厂库提供提货人身份证、提货人所在单位证明、《提货通知单》或者提货密码，同时与厂库结清自标准仓单注销日次日起的有关费用。</w:t>
      </w:r>
    </w:p>
    <w:p w14:paraId="51DEBDD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商品重量与数量以厂库核对为准。</w:t>
      </w:r>
    </w:p>
    <w:p w14:paraId="6924D23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厂库应当保证期货商品的质量符合交易所规定的交割标准。</w:t>
      </w:r>
    </w:p>
    <w:p w14:paraId="44A1794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交易所应当确定并公布厂库的日发货速度。厂库的日发货速度是指厂库每天在</w:t>
      </w:r>
      <w:r w:rsidRPr="00726163">
        <w:rPr>
          <w:rFonts w:ascii="Times New Roman" w:eastAsia="仿宋_GB2312" w:hAnsi="Times New Roman"/>
          <w:color w:val="333333"/>
          <w:kern w:val="0"/>
          <w:sz w:val="32"/>
          <w:szCs w:val="32"/>
        </w:rPr>
        <w:t>24</w:t>
      </w:r>
      <w:r w:rsidRPr="00726163">
        <w:rPr>
          <w:rFonts w:ascii="Times New Roman" w:eastAsia="仿宋_GB2312" w:hAnsi="Times New Roman"/>
          <w:color w:val="333333"/>
          <w:kern w:val="0"/>
          <w:sz w:val="32"/>
          <w:szCs w:val="32"/>
        </w:rPr>
        <w:t>时之前安排期货商品发货的最低数量。</w:t>
      </w:r>
    </w:p>
    <w:p w14:paraId="01B63E7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交易所可以调整厂库的日发货速度，并应当予以公布。</w:t>
      </w:r>
    </w:p>
    <w:p w14:paraId="4787DC8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多个货主同时提货，且提货总量超出厂库日发货速度的，厂库应当根据各个货主的提货数量按比例安排发货。</w:t>
      </w:r>
    </w:p>
    <w:p w14:paraId="4224442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厂库应当如实记录向各货主发出的期货商品数量，以备交易所核查。</w:t>
      </w:r>
    </w:p>
    <w:p w14:paraId="045812A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厂库和货主应当妥善保管商品发货和提货的单据，作为解决纠纷的依据。</w:t>
      </w:r>
    </w:p>
    <w:p w14:paraId="41D0026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厂库以不高于日发货速度向货主发货时，货主因运输能力等原因无法按时提货，货主应当按照相关品种期货业务细则规定向厂库支付滞纳金。</w:t>
      </w:r>
    </w:p>
    <w:p w14:paraId="63FA228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货主应当在相关品种期货业务细则规定的提货期限内到厂库提货。未在规定的提货期限内提货的，按照相关品种期货业务细则有关规定处理。</w:t>
      </w:r>
    </w:p>
    <w:p w14:paraId="0E0B9CD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厂库未按规定的日发货速度发货，但按时完成了所有商品的发货，厂库应当按日出库速度应发而未发的商品数量，向货主支付赔偿金，具体金额计算方法见相关品种期货业务细则。</w:t>
      </w:r>
    </w:p>
    <w:p w14:paraId="6E8BB67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未按时完成所有商品的发货，在按第四十六条规定进行赔偿的基础上，同时还应当按商品总量应发而未发的商品数量，向货主支付赔偿金，具体金额计算方法见相关品种期货业务细则；并按照以下程序进行处理：</w:t>
      </w:r>
    </w:p>
    <w:p w14:paraId="00E5054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（一）交易所向货主提供其它厂库或其它地点的相同质量和数量的现货商品，并承担调整交货地点和延期发货产生的全部费用。</w:t>
      </w:r>
    </w:p>
    <w:p w14:paraId="6D09027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（二）交易所无法提供上述商品时，向货主返还货款并支付赔偿金，具体金额计算方法见相关品种期货业务细则。</w:t>
      </w:r>
    </w:p>
    <w:p w14:paraId="0DB0382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当厂库发生第四十六条、第四十七条中的违约行为时，首先由厂库向货主支付赔偿金。厂库未支付的或者支付数额不足的，交易所按照以下步骤向货主支付赔偿金：</w:t>
      </w:r>
    </w:p>
    <w:p w14:paraId="3C66A93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（一）动用厂库交具的银行保函和其他保证方式支付；</w:t>
      </w:r>
    </w:p>
    <w:p w14:paraId="4975E77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（二）动用风险准备金支付；</w:t>
      </w:r>
    </w:p>
    <w:p w14:paraId="4B3E77B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（三）动用交易所自有资产支付；</w:t>
      </w:r>
    </w:p>
    <w:p w14:paraId="368337A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（四）通过包括法律程序在内的其他手段向厂库追索。</w:t>
      </w:r>
    </w:p>
    <w:p w14:paraId="62FB579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因天气原因导致无法装卸时，厂库和货主不需支付滞纳金或者赔偿金。</w:t>
      </w:r>
    </w:p>
    <w:p w14:paraId="5F5C05B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厂库和货主经双方协商同意，可以另行确定发货时间和发货速度，不需按本办法中的有关规定办理。厂库和货主应当进行书面确认并妥善保存，以备核查。</w:t>
      </w:r>
    </w:p>
    <w:p w14:paraId="6854DAE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厂库未按交易所的规定进行检验、检重或者检测数量、发货时，交易所将按照《大连商品交易所违规处理办法》有关规定进行处罚。</w:t>
      </w:r>
    </w:p>
    <w:p w14:paraId="1A5DE4E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标准仓单注销过程中出现的其它问题，由交易所参照本办法中的有关规定进行处理。</w:t>
      </w:r>
    </w:p>
    <w:p w14:paraId="1F23FCE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标准仓单应当在交易所规定的期限内进行注销，标准仓单注销期限见相关品种期货业务细则有关规定。</w:t>
      </w:r>
    </w:p>
    <w:p w14:paraId="42A9716C" w14:textId="77777777" w:rsidR="00726163" w:rsidRPr="005C643D" w:rsidRDefault="00726163" w:rsidP="003E3461">
      <w:pPr>
        <w:shd w:val="clear" w:color="auto" w:fill="FFFFFF"/>
        <w:jc w:val="center"/>
        <w:rPr>
          <w:rFonts w:ascii="黑体" w:eastAsia="黑体" w:hAnsi="黑体"/>
          <w:color w:val="333333"/>
          <w:kern w:val="0"/>
          <w:sz w:val="32"/>
          <w:szCs w:val="32"/>
        </w:rPr>
      </w:pPr>
      <w:r w:rsidRPr="005C643D">
        <w:rPr>
          <w:rFonts w:ascii="黑体" w:eastAsia="黑体" w:hAnsi="黑体"/>
          <w:color w:val="333333"/>
          <w:kern w:val="0"/>
          <w:sz w:val="32"/>
          <w:szCs w:val="32"/>
        </w:rPr>
        <w:t>第六章 争议与处理</w:t>
      </w:r>
    </w:p>
    <w:p w14:paraId="797117B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标准仓单注册申请人申请注册标准仓单时违反国家法律法规、国家强制性标准和相关规定的，由标准仓单注册申请人承担责任。</w:t>
      </w:r>
    </w:p>
    <w:p w14:paraId="02A7E5B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标准仓单注册申请人申请注册标准仓单时不符合期货交割质量标准的，由标准仓单注册申请人承担责任。</w:t>
      </w:r>
    </w:p>
    <w:p w14:paraId="7E25026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商品入库、出库，货主应当到库监收监发。货主不到库监收监发的，则视为货主对指定交割仓库所收所发的实物重量、质量没有异议。</w:t>
      </w:r>
    </w:p>
    <w:p w14:paraId="6CD9666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w:t>
      </w:r>
      <w:r w:rsidRPr="00726163">
        <w:rPr>
          <w:rFonts w:ascii="Times New Roman" w:eastAsia="仿宋_GB2312" w:hAnsi="Times New Roman"/>
          <w:color w:val="333333"/>
          <w:kern w:val="0"/>
          <w:sz w:val="32"/>
          <w:szCs w:val="32"/>
        </w:rPr>
        <w:t>5</w:t>
      </w:r>
      <w:r w:rsidRPr="00726163">
        <w:rPr>
          <w:rFonts w:ascii="Times New Roman" w:eastAsia="仿宋_GB2312" w:hAnsi="Times New Roman"/>
          <w:color w:val="333333"/>
          <w:kern w:val="0"/>
          <w:sz w:val="32"/>
          <w:szCs w:val="32"/>
        </w:rPr>
        <w:t>个工作日内以书面形式向交易所提出质量异议；对于豆粕、豆油、焦炭、玉米淀粉、粳米品种，货主应当在发货日起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个工作日内以书面形式向交易所提出质量异议。未在规定时间内提出异议的，视为货主认可出库商品质量。</w:t>
      </w:r>
    </w:p>
    <w:p w14:paraId="6B3B926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当货主与指定交割仓库就豆粕、豆油、棕榈油、焦炭、焦煤、铁矿石、鸡蛋、玉米淀粉、粳米的检验结果发生争议时，由交易所指定的质量检验机构进行复检，复检结果为解决争议的依据。</w:t>
      </w:r>
    </w:p>
    <w:p w14:paraId="676C70C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当货主与指定交割仓库就黄大豆</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号、玉米的检验结果发生争议时，可以在接到商品检验报告或者标准仓单注销之日起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个工作日内向交易所提出复检申请，由交易所指定的质量检验机构进行复检，复检结果为解决争议的依据。逾期未提出申请的，则视为对所交割商品质量无异议。</w:t>
      </w:r>
    </w:p>
    <w:p w14:paraId="462F69C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黄大豆</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号、玉米、豆粕、豆油、棕榈油、焦炭、焦煤、铁矿石、鸡蛋、玉米淀粉、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14:paraId="23F97E7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对于黄大豆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号品种，交割商品质量争议按照以下规定处理：</w:t>
      </w:r>
    </w:p>
    <w:p w14:paraId="357645A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（一）仓库入库时，货主或者指定交割仓库对商品检验报告的检验结论有异议的，应当在接到商品检验报告之日起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原质量检验机构负担。</w:t>
      </w:r>
    </w:p>
    <w:p w14:paraId="155B9D2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（二）仓库出库时，货主对指定交割仓库认定的交割等级有异议的，应当在标准仓单注销之日起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14:paraId="76A9519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（三）厂库出库时，货主只能就黄大豆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号委托加工后的豆粕和豆油提出质量异议。货主有异议的，首先与厂库协商解决。协商不成的，货主应当在发货日起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粕、豆油交割质量标准相符的，由此产生的一切费用（检验费和差旅费等）由货主负担；不相符的，由此产生的一切费用（检验费和差旅费等）和损失由厂库负担。</w:t>
      </w:r>
    </w:p>
    <w:p w14:paraId="58ACC97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对于胶合板、纤维板品种，交割商品质量争议按照以下规定处理：</w:t>
      </w:r>
    </w:p>
    <w:p w14:paraId="77B943A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（一）仓库商品出库时，货主对出库商品质量有异议的，应当在标准仓单注销之日起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胶合板或纤维板期货最近交割月交割结算价的</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复检不符合交割质量标准的商品数量。若换货，仓库应在收到争议复检报告后</w:t>
      </w:r>
      <w:r w:rsidRPr="00726163">
        <w:rPr>
          <w:rFonts w:ascii="Times New Roman" w:eastAsia="仿宋_GB2312" w:hAnsi="Times New Roman"/>
          <w:color w:val="333333"/>
          <w:kern w:val="0"/>
          <w:sz w:val="32"/>
          <w:szCs w:val="32"/>
        </w:rPr>
        <w:t>15</w:t>
      </w:r>
      <w:r w:rsidRPr="00726163">
        <w:rPr>
          <w:rFonts w:ascii="Times New Roman" w:eastAsia="仿宋_GB2312" w:hAnsi="Times New Roman"/>
          <w:color w:val="333333"/>
          <w:kern w:val="0"/>
          <w:sz w:val="32"/>
          <w:szCs w:val="32"/>
        </w:rPr>
        <w:t>个工作日内完成备货。交易所委托指定质检机构对所换货物进行检验，若所换货物符合胶合板或纤维板交割质量标准，则货主不得拒收，并应当在收到换货质检报告后</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到仓库提货，逾期未提货的，仓库不保证全部商品质量符合期货标准。换货产生的检验费、仓储费和倒垛费等仓库相关费用、抽样损耗由仓库承担。若所换货物仍不符合胶合板或纤维板交割质量标准，则仓库应当回购，回购货款</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胶合板或纤维板期货最近交割月交割结算价的</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换货检验不符合交割质量标准的商品数量，相应货物归仓库所有。</w:t>
      </w:r>
    </w:p>
    <w:p w14:paraId="19662A34" w14:textId="2F3599E9" w:rsidR="00726163" w:rsidRPr="00726163" w:rsidRDefault="00726163" w:rsidP="005C643D">
      <w:pPr>
        <w:shd w:val="clear" w:color="auto" w:fill="FFFFFF"/>
        <w:ind w:firstLineChars="200" w:firstLine="640"/>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仓库商品出库时，货主对纤维板是否为连续压机厂库生产的产品有异议的，由该产品生产厂库进行判定，以厂库判定为准，经厂库判定为非本企业产品，厂库应在</w:t>
      </w:r>
      <w:r w:rsidRPr="00726163">
        <w:rPr>
          <w:rFonts w:ascii="Times New Roman" w:eastAsia="仿宋_GB2312" w:hAnsi="Times New Roman"/>
          <w:color w:val="333333"/>
          <w:kern w:val="0"/>
          <w:sz w:val="32"/>
          <w:szCs w:val="32"/>
        </w:rPr>
        <w:t>15</w:t>
      </w:r>
      <w:r w:rsidRPr="00726163">
        <w:rPr>
          <w:rFonts w:ascii="Times New Roman" w:eastAsia="仿宋_GB2312" w:hAnsi="Times New Roman"/>
          <w:color w:val="333333"/>
          <w:kern w:val="0"/>
          <w:sz w:val="32"/>
          <w:szCs w:val="32"/>
        </w:rPr>
        <w:t>个工作日内换货。</w:t>
      </w:r>
    </w:p>
    <w:p w14:paraId="7F6DC52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厂库商品出库时，厂库应当在货主的监督下进行抽样，经双方确认后将样品封存。货主对出库商品质量有异议的，首先与厂库协商解决。协商不成的，货主应当在与厂库按照前述规定封存样品（不含当日）后的</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厂库相关费用、抽样损耗由货主负担。复检结果与胶合板或纤维板交割质量标准不相符的，由此产生的检验费、差旅费、仓储费和倒垛费等厂库相关费用、抽样损耗由厂库承担，厂库可以换货或者回购，回购货款</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胶合板或纤维板期货最近交割月交割结算价的</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复检不符合交割质量标准的商品数量。若换货，厂库应在收到争议复检报告后</w:t>
      </w:r>
      <w:r w:rsidRPr="00726163">
        <w:rPr>
          <w:rFonts w:ascii="Times New Roman" w:eastAsia="仿宋_GB2312" w:hAnsi="Times New Roman"/>
          <w:color w:val="333333"/>
          <w:kern w:val="0"/>
          <w:sz w:val="32"/>
          <w:szCs w:val="32"/>
        </w:rPr>
        <w:t>15</w:t>
      </w:r>
      <w:r w:rsidRPr="00726163">
        <w:rPr>
          <w:rFonts w:ascii="Times New Roman" w:eastAsia="仿宋_GB2312" w:hAnsi="Times New Roman"/>
          <w:color w:val="333333"/>
          <w:kern w:val="0"/>
          <w:sz w:val="32"/>
          <w:szCs w:val="32"/>
        </w:rPr>
        <w:t>个工作日内完成备货，交易所委托指定质检机构对所换货物进行检验，若所换货物符合胶合板或纤维板交割质量标准，则货主不得拒收，并应当在收到换货质检报告后</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到厂库提货，逾期未提货的，厂库不保证全部商品质量符合期货标准。换货产生的检验费、仓储费和倒垛费等厂库相关费用、抽样损耗由厂库承担；若所换货物仍不符合胶合板或纤维板交割质量标准，厂库应当回购，回购货款</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胶合板或纤维板期货最近交割月交割结算价的</w:t>
      </w:r>
      <w:r w:rsidRPr="00726163">
        <w:rPr>
          <w:rFonts w:ascii="Times New Roman" w:eastAsia="仿宋_GB2312" w:hAnsi="Times New Roman"/>
          <w:color w:val="333333"/>
          <w:kern w:val="0"/>
          <w:sz w:val="32"/>
          <w:szCs w:val="32"/>
        </w:rPr>
        <w:t>120%×</w:t>
      </w:r>
      <w:r w:rsidRPr="00726163">
        <w:rPr>
          <w:rFonts w:ascii="Times New Roman" w:eastAsia="仿宋_GB2312" w:hAnsi="Times New Roman"/>
          <w:color w:val="333333"/>
          <w:kern w:val="0"/>
          <w:sz w:val="32"/>
          <w:szCs w:val="32"/>
        </w:rPr>
        <w:t>换货检验不符合交割质量标准的商品数量，相应货物归厂库所有。</w:t>
      </w:r>
    </w:p>
    <w:p w14:paraId="31319F8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对于乙二醇、苯乙烯品种，交割商品质量争议按照以下规定处理：</w:t>
      </w:r>
    </w:p>
    <w:p w14:paraId="57C275D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（一）仓库商品入库时，货主或者指定交割仓库对商品检验报告的检验结论有异议的，应当在接到商品检验报告之日起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向交易所提出复检申请。复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14:paraId="5A2F3A2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（二）仓库商品出库时，货主对出库商品质量有异议的，应当在标准仓单注销之日起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仓库相关费用由货主负担；不相符的，由此产生的检验费、差旅费、仓储费等仓库相关费用和损失由指定交割仓库负担。</w:t>
      </w:r>
    </w:p>
    <w:p w14:paraId="60D6D8D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厂库商品出库时，厂库应当在货主的监督下进行抽样，经双方确认后将样品封存。货主对出库商品质量有异议的，首先与厂库协商解决。对于乙二醇品种，协商不成的，货主应当在与厂库按照前述规定封存样品后（不含当日）的</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个工作日内，以书面形式对该样品提出复检申请。对于苯乙烯品种，协商不成的，货主应当在与厂库按照前述规定封存样品后（不含当日）的</w:t>
      </w:r>
      <w:r w:rsidRPr="00726163">
        <w:rPr>
          <w:rFonts w:ascii="Times New Roman" w:eastAsia="仿宋_GB2312" w:hAnsi="Times New Roman"/>
          <w:color w:val="333333"/>
          <w:kern w:val="0"/>
          <w:sz w:val="32"/>
          <w:szCs w:val="32"/>
        </w:rPr>
        <w:t>5</w:t>
      </w:r>
      <w:r w:rsidRPr="00726163">
        <w:rPr>
          <w:rFonts w:ascii="Times New Roman" w:eastAsia="仿宋_GB2312" w:hAnsi="Times New Roman"/>
          <w:color w:val="333333"/>
          <w:kern w:val="0"/>
          <w:sz w:val="32"/>
          <w:szCs w:val="32"/>
        </w:rPr>
        <w:t>个工作日内，以书面形式对该样品提出复检申请。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14:paraId="2D496E7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对于线型低密度聚乙烯、聚氯乙烯、聚丙烯品种，交割商品质量争议按照以下规定处理：</w:t>
      </w:r>
    </w:p>
    <w:p w14:paraId="751EEA0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（一）仓库商品入库时，除免检入库的商品外，货主或者指定交割仓库对商品检验报告的检验结论有异议的，应当在接到商品检验报告之日起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向交易所提出复检申请。复检申请应当说明需要复检的商品数量、复检商品的生产厂家及牌号和货物所在垛位号等，留存联系方式，并加盖提出争议者公章。由交易所在指定质量检验机构中选取检验机构进行复检，复检结果为解决争议的依据。未在规定时间内以规定方式提出复检申请的，视为同意商品检验报告的检验结论。复检费用由提出争议者负担。</w:t>
      </w:r>
    </w:p>
    <w:p w14:paraId="3E05B80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（二）仓库商品出库时，货主对出库商品质量有异议的，应当在标准仓单注销之日起</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且货物已交付但未出库的情况下，以书面形式向交易所提出复检申请。复检申请应当说明需要复检的商品数量、复检商品的生产厂家及牌号和货物所在垛位号等，留存联系方式，并加盖货主公章。交易所在指定质量检验机构中选取检验机构进行复检，复检结果为解决争议的依据。未在规定时间内以规定方式提出申请的，视为货主对出库商品质量无异议。复检费用由货主先行垫付。</w:t>
      </w:r>
    </w:p>
    <w:p w14:paraId="7C71030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非免检入库的商品，复检结果与交割质量标准相符的，由此产生的检验费、差旅费、仓储费等相关费用由货主负担；不相符的，由此产生的检验费、差旅费、仓储费等相关费用和损失由指定交割仓库负担；复检结果与交割质量标准虽相符，但非标准仓单注册申请人承诺交割注册品牌的，指定交割仓库应当在</w:t>
      </w:r>
      <w:r w:rsidRPr="00726163">
        <w:rPr>
          <w:rFonts w:ascii="Times New Roman" w:eastAsia="仿宋_GB2312" w:hAnsi="Times New Roman"/>
          <w:color w:val="333333"/>
          <w:kern w:val="0"/>
          <w:sz w:val="32"/>
          <w:szCs w:val="32"/>
        </w:rPr>
        <w:t>200</w:t>
      </w:r>
      <w:r w:rsidRPr="00726163">
        <w:rPr>
          <w:rFonts w:ascii="Times New Roman" w:eastAsia="仿宋_GB2312" w:hAnsi="Times New Roman"/>
          <w:color w:val="333333"/>
          <w:kern w:val="0"/>
          <w:sz w:val="32"/>
          <w:szCs w:val="32"/>
        </w:rPr>
        <w:t>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吨范围内向货主先行承担赔偿责任，并有权向标准仓单注册申请人或其他责任人追偿，生产厂家应当予以配合。</w:t>
      </w:r>
    </w:p>
    <w:p w14:paraId="168F4A9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免检入库的商品，争议检验结果与交割质量标准相符的，由此产生的费用由货主负担；不相符的，该费用由生产厂家承担。免检入库的线型低密度聚乙烯、聚氯乙烯、聚丙烯争议检验结果与交割质量标准不相符，或虽相符但非标准仓单注册申请人承诺免检注册品牌的，除货主和生产厂家另有约定的以外，生产厂家应当在收到或应当收到争议检验结果之日起</w:t>
      </w:r>
      <w:r w:rsidRPr="00726163">
        <w:rPr>
          <w:rFonts w:ascii="Times New Roman" w:eastAsia="仿宋_GB2312" w:hAnsi="Times New Roman"/>
          <w:color w:val="333333"/>
          <w:kern w:val="0"/>
          <w:sz w:val="32"/>
          <w:szCs w:val="32"/>
        </w:rPr>
        <w:t>15</w:t>
      </w:r>
      <w:r w:rsidRPr="00726163">
        <w:rPr>
          <w:rFonts w:ascii="Times New Roman" w:eastAsia="仿宋_GB2312" w:hAnsi="Times New Roman"/>
          <w:color w:val="333333"/>
          <w:kern w:val="0"/>
          <w:sz w:val="32"/>
          <w:szCs w:val="32"/>
        </w:rPr>
        <w:t>个自然日内在原交割地点为货主换货，逾期未完成换货的，按照每日</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吨的标准向货主支付赔偿金，生产厂家在收到或应当收到争议检验结果之日起</w:t>
      </w:r>
      <w:r w:rsidRPr="00726163">
        <w:rPr>
          <w:rFonts w:ascii="Times New Roman" w:eastAsia="仿宋_GB2312" w:hAnsi="Times New Roman"/>
          <w:color w:val="333333"/>
          <w:kern w:val="0"/>
          <w:sz w:val="32"/>
          <w:szCs w:val="32"/>
        </w:rPr>
        <w:t>60</w:t>
      </w:r>
      <w:r w:rsidRPr="00726163">
        <w:rPr>
          <w:rFonts w:ascii="Times New Roman" w:eastAsia="仿宋_GB2312" w:hAnsi="Times New Roman"/>
          <w:color w:val="333333"/>
          <w:kern w:val="0"/>
          <w:sz w:val="32"/>
          <w:szCs w:val="32"/>
        </w:rPr>
        <w:t>个自然日内未完成换货的，应当向货主赔偿所有损失。生产厂家向货主先行承担上述责任后，有权向标准仓单注册申请人或其他责任人追偿。</w:t>
      </w:r>
    </w:p>
    <w:p w14:paraId="122D4B5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厂库商品出库时，厂库应当在货主的监督下进行抽样，经双方确认后将样品封存。货主对出库商品质量有异议的，首先与厂库协商解决。协商不成的，货主应当在与厂库按照前述规定封存样品后（不含当日）的</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个工作日内，以书面形式对该样品提出复检申请。复检申请应当说明需要复检的商品数量、复检商品的生产厂家及牌号和货物所在垛位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14:paraId="6EAF0856"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第六十二条</w:t>
      </w:r>
      <w:r w:rsidRPr="00726163">
        <w:rPr>
          <w:rFonts w:ascii="Times New Roman" w:eastAsia="仿宋_GB2312" w:hAnsi="Times New Roman"/>
          <w:color w:val="000000"/>
          <w:kern w:val="0"/>
          <w:sz w:val="32"/>
          <w:szCs w:val="32"/>
        </w:rPr>
        <w:t xml:space="preserve"> </w:t>
      </w:r>
      <w:r w:rsidRPr="00726163">
        <w:rPr>
          <w:rFonts w:ascii="Times New Roman" w:eastAsia="仿宋_GB2312" w:hAnsi="Times New Roman"/>
          <w:color w:val="000000"/>
          <w:kern w:val="0"/>
          <w:sz w:val="32"/>
          <w:szCs w:val="32"/>
        </w:rPr>
        <w:t>对于液化石油气品种，交割商品质量争议按照以下规定处理：</w:t>
      </w:r>
    </w:p>
    <w:p w14:paraId="4BDFC7FF"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液化石油气从厂库出库时，若货主按照《大连商品交易所液化石油气期货业务细则》相关规定选择取样，则货主可以对出库商品质量提出异议，申请检验样品，并以该样品的检验结果作为解决争议的依据。若未按规定选择取样，则视为对出库商品质量无异议。</w:t>
      </w:r>
    </w:p>
    <w:p w14:paraId="63086C1C"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货主对出库商品质量提出异议后，首先与厂库协商解决。协商不成的，货主应当在封存样品（不含当日）后的</w:t>
      </w:r>
      <w:r w:rsidRPr="00726163">
        <w:rPr>
          <w:rFonts w:ascii="Times New Roman" w:eastAsia="仿宋_GB2312" w:hAnsi="Times New Roman"/>
          <w:color w:val="000000"/>
          <w:kern w:val="0"/>
          <w:sz w:val="32"/>
          <w:szCs w:val="32"/>
        </w:rPr>
        <w:t>2</w:t>
      </w:r>
      <w:r w:rsidRPr="00726163">
        <w:rPr>
          <w:rFonts w:ascii="Times New Roman" w:eastAsia="仿宋_GB2312" w:hAnsi="Times New Roman"/>
          <w:color w:val="000000"/>
          <w:kern w:val="0"/>
          <w:sz w:val="32"/>
          <w:szCs w:val="32"/>
        </w:rPr>
        <w:t>个交易日内，以书面形式对该样品提出检验申请。检验申请应当说明需要检验的商品数量及指标，留存联系方式，并加盖货主公章。交易所在指定质量检验机构中选取检验机构进行检验，单项质量指标的检验结果为取样当天所有样品相应指标的平均值。未在规定时间内以规定方式提出样品检验申请的，视为货主对出库商品质量无异议。检验费用由货主先行垫付。</w:t>
      </w:r>
    </w:p>
    <w:p w14:paraId="55284C48" w14:textId="77777777" w:rsidR="00726163" w:rsidRPr="00726163" w:rsidRDefault="00726163" w:rsidP="003E3461">
      <w:pPr>
        <w:adjustRightInd w:val="0"/>
        <w:snapToGrid w:val="0"/>
        <w:spacing w:line="580" w:lineRule="exact"/>
        <w:ind w:firstLineChars="200" w:firstLine="64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复检结果与厂库认定的交割等级相符的，由此产生的取样费、检验费、仓储费等相关费用由货主承担；复检结果与厂库认定的交割等级不相符但符合交割质量标准的，厂库按照样品检验结果与货主结算质量升贴水，由此产生的取样费、检验费、仓储费等相关费用及损失由厂库承担；复检结果不符合交割质量标准的，由双方协商解决，若协商不一致，由此产生的取样费、检验费、仓储费等相关费用及损失由厂库承担。</w:t>
      </w:r>
    </w:p>
    <w:p w14:paraId="0603456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买方或者卖方与指定交割仓库之间产生交割纠纷，首先由双方自行协商解决，达不成一致意见的，应当在发生交割纠纷后</w:t>
      </w:r>
      <w:r w:rsidRPr="00726163">
        <w:rPr>
          <w:rFonts w:ascii="Times New Roman" w:eastAsia="仿宋_GB2312" w:hAnsi="Times New Roman"/>
          <w:color w:val="333333"/>
          <w:kern w:val="0"/>
          <w:sz w:val="32"/>
          <w:szCs w:val="32"/>
        </w:rPr>
        <w:t>15</w:t>
      </w:r>
      <w:r w:rsidRPr="00726163">
        <w:rPr>
          <w:rFonts w:ascii="Times New Roman" w:eastAsia="仿宋_GB2312" w:hAnsi="Times New Roman"/>
          <w:color w:val="333333"/>
          <w:kern w:val="0"/>
          <w:sz w:val="32"/>
          <w:szCs w:val="32"/>
        </w:rPr>
        <w:t>日内以书面形式提请交易所调解，逾期交易所不再受理调解申请。调解不成的，可通过法律途径解决。交易所不受理已经出库的交割商品的质量和数量的争议。</w:t>
      </w:r>
    </w:p>
    <w:p w14:paraId="4689E1FF" w14:textId="77777777" w:rsidR="00726163" w:rsidRPr="005C643D" w:rsidRDefault="00726163" w:rsidP="003E3461">
      <w:pPr>
        <w:shd w:val="clear" w:color="auto" w:fill="FFFFFF"/>
        <w:jc w:val="center"/>
        <w:rPr>
          <w:rFonts w:ascii="黑体" w:eastAsia="黑体" w:hAnsi="黑体"/>
          <w:color w:val="333333"/>
          <w:kern w:val="0"/>
          <w:sz w:val="32"/>
          <w:szCs w:val="32"/>
        </w:rPr>
      </w:pPr>
      <w:r w:rsidRPr="005C643D">
        <w:rPr>
          <w:rFonts w:ascii="黑体" w:eastAsia="黑体" w:hAnsi="黑体"/>
          <w:color w:val="333333"/>
          <w:kern w:val="0"/>
          <w:sz w:val="32"/>
          <w:szCs w:val="32"/>
        </w:rPr>
        <w:t>第七章 附则</w:t>
      </w:r>
    </w:p>
    <w:p w14:paraId="32AFD73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违反本办法规定的，交易所按《大连商品交易所违规处理办法》有关规定处理。</w:t>
      </w:r>
    </w:p>
    <w:p w14:paraId="1EE0422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各品种期货业务细则有特别规定的，适用其规定。</w:t>
      </w:r>
    </w:p>
    <w:p w14:paraId="1C57B97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本办法解释权属于大连商品交易所。</w:t>
      </w:r>
    </w:p>
    <w:p w14:paraId="6C72495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本办法自公布之日起实施。</w:t>
      </w:r>
    </w:p>
    <w:p w14:paraId="77748344"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sectPr w:rsidR="00726163" w:rsidRPr="00726163">
          <w:pgSz w:w="11906" w:h="16838"/>
          <w:pgMar w:top="1440" w:right="1800" w:bottom="1440" w:left="1800" w:header="851" w:footer="992" w:gutter="0"/>
          <w:cols w:space="425"/>
          <w:docGrid w:type="lines" w:linePitch="312"/>
        </w:sectPr>
      </w:pPr>
    </w:p>
    <w:p w14:paraId="4BDCC0DD" w14:textId="76556477" w:rsidR="00726163" w:rsidRPr="00726163" w:rsidRDefault="00726163" w:rsidP="003E3461">
      <w:pPr>
        <w:spacing w:line="580" w:lineRule="exact"/>
        <w:jc w:val="left"/>
        <w:rPr>
          <w:rFonts w:ascii="Times New Roman" w:eastAsia="仿宋_GB2312" w:hAnsi="Times New Roman"/>
          <w:sz w:val="32"/>
          <w:szCs w:val="32"/>
        </w:rPr>
      </w:pPr>
      <w:r w:rsidRPr="00726163">
        <w:rPr>
          <w:rFonts w:ascii="Times New Roman" w:eastAsia="仿宋_GB2312" w:hAnsi="Times New Roman"/>
          <w:sz w:val="32"/>
          <w:szCs w:val="32"/>
        </w:rPr>
        <w:t>附件</w:t>
      </w:r>
      <w:r w:rsidRPr="00726163">
        <w:rPr>
          <w:rFonts w:ascii="Times New Roman" w:eastAsia="仿宋_GB2312" w:hAnsi="Times New Roman"/>
          <w:sz w:val="32"/>
          <w:szCs w:val="32"/>
        </w:rPr>
        <w:t>4</w:t>
      </w:r>
      <w:r w:rsidR="005C643D">
        <w:rPr>
          <w:rFonts w:ascii="Times New Roman" w:eastAsia="仿宋_GB2312" w:hAnsi="Times New Roman" w:hint="eastAsia"/>
          <w:sz w:val="32"/>
          <w:szCs w:val="32"/>
        </w:rPr>
        <w:t>：</w:t>
      </w:r>
    </w:p>
    <w:p w14:paraId="6EDFAD2F" w14:textId="77777777" w:rsidR="00726163" w:rsidRPr="00726163" w:rsidRDefault="00726163" w:rsidP="003E3461">
      <w:pPr>
        <w:spacing w:line="580" w:lineRule="exact"/>
        <w:jc w:val="left"/>
        <w:rPr>
          <w:rFonts w:ascii="Times New Roman" w:eastAsia="仿宋_GB2312" w:hAnsi="Times New Roman"/>
          <w:sz w:val="32"/>
          <w:szCs w:val="32"/>
        </w:rPr>
      </w:pPr>
    </w:p>
    <w:p w14:paraId="1603C82E"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《大连商品交易所风险管理办法》</w:t>
      </w:r>
    </w:p>
    <w:p w14:paraId="2A2359F7"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修正案</w:t>
      </w:r>
    </w:p>
    <w:p w14:paraId="293F169F"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7453ACF2" w14:textId="77777777" w:rsidR="00726163" w:rsidRPr="00726163" w:rsidRDefault="00726163" w:rsidP="003E3461">
      <w:pPr>
        <w:adjustRightInd w:val="0"/>
        <w:snapToGrid w:val="0"/>
        <w:spacing w:line="580" w:lineRule="exact"/>
        <w:ind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第二十九条</w:t>
      </w:r>
      <w:r w:rsidRPr="00726163">
        <w:rPr>
          <w:rFonts w:ascii="Times New Roman" w:eastAsia="仿宋_GB2312" w:hAnsi="Times New Roman"/>
          <w:color w:val="000000"/>
          <w:sz w:val="32"/>
          <w:szCs w:val="32"/>
        </w:rPr>
        <w:t xml:space="preserve">  </w:t>
      </w:r>
      <w:r w:rsidRPr="00726163">
        <w:rPr>
          <w:rFonts w:ascii="Times New Roman" w:eastAsia="仿宋_GB2312" w:hAnsi="Times New Roman"/>
          <w:color w:val="000000"/>
          <w:sz w:val="32"/>
          <w:szCs w:val="32"/>
        </w:rPr>
        <w:t>除鸡蛋、乙二醇品种外，各品种期货合约一般月份（合约上市至交割月份前一个月第十四个交易日）非期货公司会员和客户持仓限额见下表：（单位：手）</w:t>
      </w:r>
    </w:p>
    <w:tbl>
      <w:tblPr>
        <w:tblW w:w="5000" w:type="pct"/>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1640"/>
        <w:gridCol w:w="2488"/>
        <w:gridCol w:w="2170"/>
        <w:gridCol w:w="1992"/>
      </w:tblGrid>
      <w:tr w:rsidR="00726163" w:rsidRPr="00726163" w14:paraId="54B39EE4" w14:textId="77777777" w:rsidTr="00292285">
        <w:tc>
          <w:tcPr>
            <w:tcW w:w="0" w:type="auto"/>
            <w:tcBorders>
              <w:top w:val="single" w:sz="6" w:space="0" w:color="auto"/>
              <w:left w:val="single" w:sz="6" w:space="0" w:color="auto"/>
              <w:bottom w:val="single" w:sz="6" w:space="0" w:color="auto"/>
              <w:right w:val="single" w:sz="6" w:space="0" w:color="auto"/>
            </w:tcBorders>
            <w:noWrap/>
            <w:vAlign w:val="center"/>
            <w:hideMark/>
          </w:tcPr>
          <w:p w14:paraId="491EC24A"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品种</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06CD2"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合约单边持仓规模</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B8942"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非期货公司会员</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D8210"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客户</w:t>
            </w:r>
          </w:p>
        </w:tc>
      </w:tr>
      <w:tr w:rsidR="00726163" w:rsidRPr="00726163" w14:paraId="39E6FCFC" w14:textId="77777777" w:rsidTr="00292285">
        <w:trPr>
          <w:trHeight w:val="249"/>
        </w:trPr>
        <w:tc>
          <w:tcPr>
            <w:tcW w:w="0" w:type="auto"/>
            <w:tcBorders>
              <w:top w:val="single" w:sz="6" w:space="0" w:color="auto"/>
              <w:left w:val="single" w:sz="6" w:space="0" w:color="auto"/>
              <w:bottom w:val="single" w:sz="6" w:space="0" w:color="auto"/>
              <w:right w:val="single" w:sz="6" w:space="0" w:color="auto"/>
            </w:tcBorders>
            <w:noWrap/>
            <w:vAlign w:val="center"/>
            <w:hideMark/>
          </w:tcPr>
          <w:p w14:paraId="09E36D12"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BEFA7"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C8A3"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EEF82"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p>
        </w:tc>
      </w:tr>
      <w:tr w:rsidR="00726163" w:rsidRPr="00726163" w14:paraId="0535F545" w14:textId="77777777" w:rsidTr="00292285">
        <w:tc>
          <w:tcPr>
            <w:tcW w:w="0" w:type="auto"/>
            <w:vMerge w:val="restart"/>
            <w:tcBorders>
              <w:top w:val="single" w:sz="6" w:space="0" w:color="auto"/>
              <w:left w:val="single" w:sz="6" w:space="0" w:color="auto"/>
              <w:bottom w:val="single" w:sz="6" w:space="0" w:color="auto"/>
              <w:right w:val="single" w:sz="6" w:space="0" w:color="auto"/>
            </w:tcBorders>
            <w:noWrap/>
            <w:vAlign w:val="center"/>
            <w:hideMark/>
          </w:tcPr>
          <w:p w14:paraId="6D841035"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液化石油气</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EB816"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单边持仓</w:t>
            </w:r>
            <w:r w:rsidRPr="00726163">
              <w:rPr>
                <w:rFonts w:ascii="Times New Roman" w:eastAsia="仿宋_GB2312" w:hAnsi="Times New Roman"/>
                <w:color w:val="000000"/>
                <w:sz w:val="32"/>
                <w:szCs w:val="32"/>
                <w:shd w:val="pct15" w:color="auto" w:fill="FFFFFF"/>
              </w:rPr>
              <w:t>≤80,000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277D"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CDE39"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8,000</w:t>
            </w:r>
          </w:p>
        </w:tc>
      </w:tr>
      <w:tr w:rsidR="00726163" w:rsidRPr="00726163" w14:paraId="494AC77B" w14:textId="77777777" w:rsidTr="00292285">
        <w:trPr>
          <w:trHeight w:val="33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20F1344" w14:textId="77777777" w:rsidR="00726163" w:rsidRPr="00726163" w:rsidRDefault="00726163" w:rsidP="003E3461">
            <w:pPr>
              <w:jc w:val="left"/>
              <w:rPr>
                <w:rFonts w:ascii="Times New Roman" w:eastAsia="仿宋_GB2312" w:hAnsi="Times New Roman"/>
                <w:color w:val="000000"/>
                <w:sz w:val="32"/>
                <w:szCs w:val="32"/>
                <w:shd w:val="pct15" w:color="auto" w:fill="FFFFFF"/>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62B7DA"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sz w:val="32"/>
                <w:szCs w:val="32"/>
                <w:shd w:val="pct15" w:color="auto" w:fill="FFFFFF"/>
              </w:rPr>
              <w:t>单边持仓＞</w:t>
            </w:r>
            <w:r w:rsidRPr="00726163">
              <w:rPr>
                <w:rFonts w:ascii="Times New Roman" w:eastAsia="仿宋_GB2312" w:hAnsi="Times New Roman"/>
                <w:color w:val="000000"/>
                <w:sz w:val="32"/>
                <w:szCs w:val="32"/>
                <w:shd w:val="pct15" w:color="auto" w:fill="FFFFFF"/>
              </w:rPr>
              <w:t>80,000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3D6C0"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sz w:val="32"/>
                <w:szCs w:val="32"/>
                <w:shd w:val="pct15" w:color="auto" w:fill="FFFFFF"/>
              </w:rPr>
              <w:t>单边持仓</w:t>
            </w:r>
            <w:r w:rsidRPr="00726163">
              <w:rPr>
                <w:rFonts w:ascii="Times New Roman" w:eastAsia="仿宋_GB2312" w:hAnsi="Times New Roman"/>
                <w:color w:val="000000"/>
                <w:sz w:val="32"/>
                <w:szCs w:val="32"/>
                <w:shd w:val="pct15" w:color="auto" w:fill="FFFFFF"/>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26933"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sz w:val="32"/>
                <w:szCs w:val="32"/>
                <w:shd w:val="pct15" w:color="auto" w:fill="FFFFFF"/>
              </w:rPr>
              <w:t>单边持仓</w:t>
            </w:r>
            <w:r w:rsidRPr="00726163">
              <w:rPr>
                <w:rFonts w:ascii="Times New Roman" w:eastAsia="仿宋_GB2312" w:hAnsi="Times New Roman"/>
                <w:color w:val="000000"/>
                <w:sz w:val="32"/>
                <w:szCs w:val="32"/>
                <w:shd w:val="pct15" w:color="auto" w:fill="FFFFFF"/>
              </w:rPr>
              <w:t>×10%</w:t>
            </w:r>
          </w:p>
        </w:tc>
      </w:tr>
    </w:tbl>
    <w:p w14:paraId="54D3A08F" w14:textId="77777777" w:rsidR="00726163" w:rsidRPr="00726163" w:rsidRDefault="00726163" w:rsidP="003E3461">
      <w:pPr>
        <w:adjustRightInd w:val="0"/>
        <w:snapToGrid w:val="0"/>
        <w:spacing w:line="580" w:lineRule="exact"/>
        <w:ind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除鸡蛋、乙二醇品种外，各品种期货合约自交割月份前一个月第十五个交易日至交割月期间非期货公司会员和客户持仓限额见下表，交割月份个人客户持仓限额为</w:t>
      </w:r>
      <w:r w:rsidRPr="00726163">
        <w:rPr>
          <w:rFonts w:ascii="Times New Roman" w:eastAsia="仿宋_GB2312" w:hAnsi="Times New Roman"/>
          <w:color w:val="000000"/>
          <w:sz w:val="32"/>
          <w:szCs w:val="32"/>
        </w:rPr>
        <w:t>0</w:t>
      </w:r>
      <w:r w:rsidRPr="00726163">
        <w:rPr>
          <w:rFonts w:ascii="Times New Roman" w:eastAsia="仿宋_GB2312" w:hAnsi="Times New Roman"/>
          <w:color w:val="000000"/>
          <w:sz w:val="32"/>
          <w:szCs w:val="32"/>
        </w:rPr>
        <w:t>：（单位：手）</w:t>
      </w:r>
    </w:p>
    <w:tbl>
      <w:tblPr>
        <w:tblW w:w="5000" w:type="pct"/>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1640"/>
        <w:gridCol w:w="3325"/>
        <w:gridCol w:w="2334"/>
        <w:gridCol w:w="991"/>
      </w:tblGrid>
      <w:tr w:rsidR="00726163" w:rsidRPr="00726163" w14:paraId="462769C8" w14:textId="77777777" w:rsidTr="00292285">
        <w:tc>
          <w:tcPr>
            <w:tcW w:w="850" w:type="pct"/>
            <w:tcBorders>
              <w:top w:val="single" w:sz="6" w:space="0" w:color="auto"/>
              <w:left w:val="single" w:sz="6" w:space="0" w:color="auto"/>
              <w:bottom w:val="single" w:sz="6" w:space="0" w:color="auto"/>
              <w:right w:val="single" w:sz="6" w:space="0" w:color="auto"/>
            </w:tcBorders>
            <w:noWrap/>
            <w:vAlign w:val="center"/>
            <w:hideMark/>
          </w:tcPr>
          <w:p w14:paraId="55C376D9"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品种</w:t>
            </w:r>
          </w:p>
        </w:tc>
        <w:tc>
          <w:tcPr>
            <w:tcW w:w="2052" w:type="pct"/>
            <w:tcBorders>
              <w:top w:val="single" w:sz="6" w:space="0" w:color="auto"/>
              <w:left w:val="single" w:sz="6" w:space="0" w:color="auto"/>
              <w:bottom w:val="single" w:sz="6" w:space="0" w:color="auto"/>
              <w:right w:val="single" w:sz="6" w:space="0" w:color="auto"/>
            </w:tcBorders>
            <w:vAlign w:val="center"/>
            <w:hideMark/>
          </w:tcPr>
          <w:p w14:paraId="46B3480F"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时间段</w:t>
            </w:r>
          </w:p>
        </w:tc>
        <w:tc>
          <w:tcPr>
            <w:tcW w:w="1454" w:type="pct"/>
            <w:tcBorders>
              <w:top w:val="single" w:sz="6" w:space="0" w:color="auto"/>
              <w:left w:val="single" w:sz="6" w:space="0" w:color="auto"/>
              <w:bottom w:val="single" w:sz="6" w:space="0" w:color="auto"/>
              <w:right w:val="single" w:sz="6" w:space="0" w:color="auto"/>
            </w:tcBorders>
            <w:vAlign w:val="center"/>
            <w:hideMark/>
          </w:tcPr>
          <w:p w14:paraId="66E0507F"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非期货公司会员</w:t>
            </w:r>
          </w:p>
        </w:tc>
        <w:tc>
          <w:tcPr>
            <w:tcW w:w="644" w:type="pct"/>
            <w:tcBorders>
              <w:top w:val="single" w:sz="6" w:space="0" w:color="auto"/>
              <w:left w:val="single" w:sz="6" w:space="0" w:color="auto"/>
              <w:bottom w:val="single" w:sz="6" w:space="0" w:color="auto"/>
              <w:right w:val="single" w:sz="6" w:space="0" w:color="auto"/>
            </w:tcBorders>
            <w:vAlign w:val="center"/>
            <w:hideMark/>
          </w:tcPr>
          <w:p w14:paraId="467D0B4D"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客户</w:t>
            </w:r>
          </w:p>
        </w:tc>
      </w:tr>
      <w:tr w:rsidR="00726163" w:rsidRPr="00726163" w14:paraId="5F7651A5" w14:textId="77777777" w:rsidTr="00292285">
        <w:trPr>
          <w:trHeight w:val="362"/>
        </w:trPr>
        <w:tc>
          <w:tcPr>
            <w:tcW w:w="850" w:type="pct"/>
            <w:tcBorders>
              <w:top w:val="single" w:sz="6" w:space="0" w:color="auto"/>
              <w:left w:val="single" w:sz="6" w:space="0" w:color="auto"/>
              <w:bottom w:val="single" w:sz="6" w:space="0" w:color="auto"/>
              <w:right w:val="single" w:sz="6" w:space="0" w:color="auto"/>
            </w:tcBorders>
            <w:noWrap/>
            <w:vAlign w:val="center"/>
            <w:hideMark/>
          </w:tcPr>
          <w:p w14:paraId="7111EB34"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p>
        </w:tc>
        <w:tc>
          <w:tcPr>
            <w:tcW w:w="2052" w:type="pct"/>
            <w:tcBorders>
              <w:top w:val="single" w:sz="6" w:space="0" w:color="auto"/>
              <w:left w:val="single" w:sz="6" w:space="0" w:color="auto"/>
              <w:bottom w:val="single" w:sz="6" w:space="0" w:color="auto"/>
              <w:right w:val="single" w:sz="6" w:space="0" w:color="auto"/>
            </w:tcBorders>
            <w:vAlign w:val="center"/>
            <w:hideMark/>
          </w:tcPr>
          <w:p w14:paraId="57792A04"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p>
        </w:tc>
        <w:tc>
          <w:tcPr>
            <w:tcW w:w="1454" w:type="pct"/>
            <w:tcBorders>
              <w:top w:val="single" w:sz="6" w:space="0" w:color="auto"/>
              <w:left w:val="single" w:sz="6" w:space="0" w:color="auto"/>
              <w:bottom w:val="single" w:sz="6" w:space="0" w:color="auto"/>
              <w:right w:val="single" w:sz="6" w:space="0" w:color="auto"/>
            </w:tcBorders>
            <w:vAlign w:val="center"/>
            <w:hideMark/>
          </w:tcPr>
          <w:p w14:paraId="5E4DCCAB"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p>
        </w:tc>
        <w:tc>
          <w:tcPr>
            <w:tcW w:w="644" w:type="pct"/>
            <w:tcBorders>
              <w:top w:val="single" w:sz="6" w:space="0" w:color="auto"/>
              <w:left w:val="single" w:sz="6" w:space="0" w:color="auto"/>
              <w:bottom w:val="single" w:sz="6" w:space="0" w:color="auto"/>
              <w:right w:val="single" w:sz="6" w:space="0" w:color="auto"/>
            </w:tcBorders>
            <w:vAlign w:val="center"/>
            <w:hideMark/>
          </w:tcPr>
          <w:p w14:paraId="69B1A791"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p>
        </w:tc>
      </w:tr>
      <w:tr w:rsidR="00726163" w:rsidRPr="00726163" w14:paraId="34DCF191" w14:textId="77777777" w:rsidTr="00292285">
        <w:tc>
          <w:tcPr>
            <w:tcW w:w="850" w:type="pct"/>
            <w:vMerge w:val="restart"/>
            <w:tcBorders>
              <w:top w:val="single" w:sz="6" w:space="0" w:color="auto"/>
              <w:left w:val="single" w:sz="6" w:space="0" w:color="auto"/>
              <w:bottom w:val="single" w:sz="6" w:space="0" w:color="auto"/>
              <w:right w:val="single" w:sz="6" w:space="0" w:color="auto"/>
            </w:tcBorders>
            <w:noWrap/>
            <w:vAlign w:val="center"/>
            <w:hideMark/>
          </w:tcPr>
          <w:p w14:paraId="59271D54"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液化石油气</w:t>
            </w:r>
          </w:p>
        </w:tc>
        <w:tc>
          <w:tcPr>
            <w:tcW w:w="2052" w:type="pct"/>
            <w:tcBorders>
              <w:top w:val="single" w:sz="6" w:space="0" w:color="auto"/>
              <w:left w:val="single" w:sz="6" w:space="0" w:color="auto"/>
              <w:bottom w:val="single" w:sz="6" w:space="0" w:color="auto"/>
              <w:right w:val="single" w:sz="6" w:space="0" w:color="auto"/>
            </w:tcBorders>
            <w:vAlign w:val="center"/>
            <w:hideMark/>
          </w:tcPr>
          <w:p w14:paraId="4C9CF90E" w14:textId="77777777" w:rsidR="00726163" w:rsidRPr="00726163" w:rsidRDefault="00726163" w:rsidP="003E3461">
            <w:pPr>
              <w:adjustRightInd w:val="0"/>
              <w:snapToGrid w:val="0"/>
              <w:spacing w:line="580" w:lineRule="exact"/>
              <w:jc w:val="left"/>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交割月前一个月第十五个交易日起</w:t>
            </w:r>
          </w:p>
        </w:tc>
        <w:tc>
          <w:tcPr>
            <w:tcW w:w="1454" w:type="pct"/>
            <w:tcBorders>
              <w:top w:val="single" w:sz="6" w:space="0" w:color="auto"/>
              <w:left w:val="single" w:sz="6" w:space="0" w:color="auto"/>
              <w:bottom w:val="single" w:sz="6" w:space="0" w:color="auto"/>
              <w:right w:val="single" w:sz="6" w:space="0" w:color="auto"/>
            </w:tcBorders>
            <w:vAlign w:val="center"/>
            <w:hideMark/>
          </w:tcPr>
          <w:p w14:paraId="3D0B6A40"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1,000</w:t>
            </w:r>
          </w:p>
        </w:tc>
        <w:tc>
          <w:tcPr>
            <w:tcW w:w="644" w:type="pct"/>
            <w:tcBorders>
              <w:top w:val="single" w:sz="6" w:space="0" w:color="auto"/>
              <w:left w:val="single" w:sz="6" w:space="0" w:color="auto"/>
              <w:bottom w:val="single" w:sz="6" w:space="0" w:color="auto"/>
              <w:right w:val="single" w:sz="6" w:space="0" w:color="auto"/>
            </w:tcBorders>
            <w:vAlign w:val="center"/>
            <w:hideMark/>
          </w:tcPr>
          <w:p w14:paraId="79F7DCC2"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sz w:val="32"/>
                <w:szCs w:val="32"/>
                <w:shd w:val="pct15" w:color="auto" w:fill="FFFFFF"/>
              </w:rPr>
            </w:pPr>
            <w:r w:rsidRPr="00726163">
              <w:rPr>
                <w:rFonts w:ascii="Times New Roman" w:eastAsia="仿宋_GB2312" w:hAnsi="Times New Roman"/>
                <w:color w:val="000000"/>
                <w:sz w:val="32"/>
                <w:szCs w:val="32"/>
                <w:shd w:val="pct15" w:color="auto" w:fill="FFFFFF"/>
              </w:rPr>
              <w:t>1,000</w:t>
            </w:r>
          </w:p>
        </w:tc>
      </w:tr>
      <w:tr w:rsidR="00726163" w:rsidRPr="00726163" w14:paraId="6357C776" w14:textId="77777777" w:rsidTr="00292285">
        <w:tc>
          <w:tcPr>
            <w:tcW w:w="0" w:type="auto"/>
            <w:vMerge/>
            <w:tcBorders>
              <w:top w:val="single" w:sz="6" w:space="0" w:color="auto"/>
              <w:left w:val="single" w:sz="6" w:space="0" w:color="auto"/>
              <w:bottom w:val="single" w:sz="6" w:space="0" w:color="auto"/>
              <w:right w:val="single" w:sz="6" w:space="0" w:color="auto"/>
            </w:tcBorders>
            <w:vAlign w:val="center"/>
            <w:hideMark/>
          </w:tcPr>
          <w:p w14:paraId="1B2C2184" w14:textId="77777777" w:rsidR="00726163" w:rsidRPr="00726163" w:rsidRDefault="00726163" w:rsidP="003E3461">
            <w:pPr>
              <w:jc w:val="left"/>
              <w:rPr>
                <w:rFonts w:ascii="Times New Roman" w:eastAsia="仿宋_GB2312" w:hAnsi="Times New Roman"/>
                <w:color w:val="000000"/>
                <w:sz w:val="32"/>
                <w:szCs w:val="32"/>
                <w:shd w:val="pct15" w:color="auto" w:fill="FFFFFF"/>
              </w:rPr>
            </w:pPr>
          </w:p>
        </w:tc>
        <w:tc>
          <w:tcPr>
            <w:tcW w:w="2052" w:type="pct"/>
            <w:tcBorders>
              <w:top w:val="single" w:sz="6" w:space="0" w:color="auto"/>
              <w:left w:val="single" w:sz="6" w:space="0" w:color="auto"/>
              <w:bottom w:val="single" w:sz="6" w:space="0" w:color="auto"/>
              <w:right w:val="single" w:sz="6" w:space="0" w:color="auto"/>
            </w:tcBorders>
            <w:vAlign w:val="center"/>
            <w:hideMark/>
          </w:tcPr>
          <w:p w14:paraId="070E96A1" w14:textId="77777777" w:rsidR="00726163" w:rsidRPr="00726163" w:rsidRDefault="00726163" w:rsidP="003E3461">
            <w:pPr>
              <w:adjustRightInd w:val="0"/>
              <w:snapToGrid w:val="0"/>
              <w:spacing w:line="580" w:lineRule="exact"/>
              <w:jc w:val="left"/>
              <w:rPr>
                <w:rFonts w:ascii="Times New Roman" w:eastAsia="仿宋_GB2312" w:hAnsi="Times New Roman"/>
                <w:color w:val="000000"/>
                <w:kern w:val="0"/>
                <w:sz w:val="32"/>
                <w:szCs w:val="32"/>
              </w:rPr>
            </w:pPr>
            <w:r w:rsidRPr="00726163">
              <w:rPr>
                <w:rFonts w:ascii="Times New Roman" w:eastAsia="仿宋_GB2312" w:hAnsi="Times New Roman"/>
                <w:color w:val="000000"/>
                <w:sz w:val="32"/>
                <w:szCs w:val="32"/>
                <w:shd w:val="pct15" w:color="auto" w:fill="FFFFFF"/>
              </w:rPr>
              <w:t>交割月份</w:t>
            </w:r>
          </w:p>
        </w:tc>
        <w:tc>
          <w:tcPr>
            <w:tcW w:w="1454" w:type="pct"/>
            <w:tcBorders>
              <w:top w:val="single" w:sz="6" w:space="0" w:color="auto"/>
              <w:left w:val="single" w:sz="6" w:space="0" w:color="auto"/>
              <w:bottom w:val="single" w:sz="6" w:space="0" w:color="auto"/>
              <w:right w:val="single" w:sz="6" w:space="0" w:color="auto"/>
            </w:tcBorders>
            <w:vAlign w:val="center"/>
            <w:hideMark/>
          </w:tcPr>
          <w:p w14:paraId="55B55183"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sz w:val="32"/>
                <w:szCs w:val="32"/>
                <w:shd w:val="pct15" w:color="auto" w:fill="FFFFFF"/>
              </w:rPr>
              <w:t>500</w:t>
            </w:r>
          </w:p>
        </w:tc>
        <w:tc>
          <w:tcPr>
            <w:tcW w:w="644" w:type="pct"/>
            <w:tcBorders>
              <w:top w:val="single" w:sz="6" w:space="0" w:color="auto"/>
              <w:left w:val="single" w:sz="6" w:space="0" w:color="auto"/>
              <w:bottom w:val="single" w:sz="6" w:space="0" w:color="auto"/>
              <w:right w:val="single" w:sz="6" w:space="0" w:color="auto"/>
            </w:tcBorders>
            <w:vAlign w:val="center"/>
            <w:hideMark/>
          </w:tcPr>
          <w:p w14:paraId="2805032E" w14:textId="77777777" w:rsidR="00726163" w:rsidRPr="00726163" w:rsidRDefault="00726163" w:rsidP="003E3461">
            <w:pPr>
              <w:adjustRightInd w:val="0"/>
              <w:snapToGrid w:val="0"/>
              <w:spacing w:line="580" w:lineRule="exact"/>
              <w:jc w:val="center"/>
              <w:rPr>
                <w:rFonts w:ascii="Times New Roman" w:eastAsia="仿宋_GB2312" w:hAnsi="Times New Roman"/>
                <w:color w:val="000000"/>
                <w:kern w:val="0"/>
                <w:sz w:val="32"/>
                <w:szCs w:val="32"/>
              </w:rPr>
            </w:pPr>
            <w:r w:rsidRPr="00726163">
              <w:rPr>
                <w:rFonts w:ascii="Times New Roman" w:eastAsia="仿宋_GB2312" w:hAnsi="Times New Roman"/>
                <w:color w:val="000000"/>
                <w:sz w:val="32"/>
                <w:szCs w:val="32"/>
                <w:shd w:val="pct15" w:color="auto" w:fill="FFFFFF"/>
              </w:rPr>
              <w:t>500</w:t>
            </w:r>
          </w:p>
        </w:tc>
      </w:tr>
    </w:tbl>
    <w:p w14:paraId="398BEC35" w14:textId="77777777" w:rsidR="00726163" w:rsidRPr="00726163" w:rsidRDefault="00726163" w:rsidP="003E3461">
      <w:pPr>
        <w:adjustRightInd w:val="0"/>
        <w:snapToGrid w:val="0"/>
        <w:spacing w:line="580" w:lineRule="exact"/>
        <w:ind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w:t>
      </w:r>
    </w:p>
    <w:p w14:paraId="47F18E23" w14:textId="77777777" w:rsidR="00726163" w:rsidRPr="00726163" w:rsidRDefault="00726163" w:rsidP="003E3461">
      <w:pPr>
        <w:adjustRightInd w:val="0"/>
        <w:snapToGrid w:val="0"/>
        <w:ind w:firstLineChars="200" w:firstLine="520"/>
        <w:rPr>
          <w:rFonts w:ascii="Times New Roman" w:eastAsia="楷体" w:hAnsi="Times New Roman"/>
          <w:szCs w:val="24"/>
        </w:rPr>
      </w:pPr>
      <w:r w:rsidRPr="00726163">
        <w:rPr>
          <w:rFonts w:ascii="Times New Roman" w:eastAsia="楷体" w:hAnsi="Times New Roman"/>
          <w:color w:val="000000"/>
          <w:spacing w:val="-10"/>
          <w:sz w:val="28"/>
          <w:szCs w:val="28"/>
        </w:rPr>
        <w:t>注：阴影部分为新增内容，</w:t>
      </w:r>
      <w:r w:rsidRPr="00726163">
        <w:rPr>
          <w:rFonts w:ascii="Times New Roman" w:eastAsia="楷体" w:hAnsi="Times New Roman"/>
          <w:color w:val="000000"/>
          <w:spacing w:val="-10"/>
          <w:sz w:val="28"/>
          <w:szCs w:val="28"/>
        </w:rPr>
        <w:t xml:space="preserve"> “……”</w:t>
      </w:r>
      <w:r w:rsidRPr="00726163">
        <w:rPr>
          <w:rFonts w:ascii="Times New Roman" w:eastAsia="楷体" w:hAnsi="Times New Roman"/>
          <w:color w:val="000000"/>
          <w:spacing w:val="-10"/>
          <w:sz w:val="28"/>
          <w:szCs w:val="28"/>
        </w:rPr>
        <w:t>（省略号）含义为该条款未修改的其他内容。</w:t>
      </w:r>
    </w:p>
    <w:p w14:paraId="18E6A93D" w14:textId="77777777" w:rsidR="00726163" w:rsidRPr="00726163" w:rsidRDefault="00726163" w:rsidP="003E3461">
      <w:pPr>
        <w:adjustRightInd w:val="0"/>
        <w:snapToGrid w:val="0"/>
        <w:rPr>
          <w:rFonts w:ascii="Times New Roman" w:eastAsia="仿宋_GB2312" w:hAnsi="Times New Roman"/>
          <w:sz w:val="32"/>
          <w:szCs w:val="32"/>
        </w:rPr>
      </w:pPr>
    </w:p>
    <w:p w14:paraId="63F73870" w14:textId="77777777" w:rsidR="00726163" w:rsidRPr="00726163" w:rsidRDefault="00726163" w:rsidP="003E3461">
      <w:pPr>
        <w:shd w:val="clear" w:color="auto" w:fill="FFFFFF"/>
        <w:rPr>
          <w:rFonts w:ascii="Times New Roman" w:eastAsia="仿宋_GB2312" w:hAnsi="Times New Roman"/>
          <w:sz w:val="32"/>
          <w:szCs w:val="32"/>
        </w:rPr>
      </w:pPr>
    </w:p>
    <w:p w14:paraId="1E3D1222"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sectPr w:rsidR="00726163" w:rsidRPr="00726163">
          <w:pgSz w:w="11906" w:h="16838"/>
          <w:pgMar w:top="1440" w:right="1800" w:bottom="1440" w:left="1800" w:header="851" w:footer="992" w:gutter="0"/>
          <w:cols w:space="425"/>
          <w:docGrid w:type="lines" w:linePitch="312"/>
        </w:sectPr>
      </w:pPr>
    </w:p>
    <w:p w14:paraId="27ED55FB" w14:textId="77777777" w:rsidR="00726163" w:rsidRPr="00726163" w:rsidRDefault="00726163" w:rsidP="003E3461">
      <w:pPr>
        <w:spacing w:line="580" w:lineRule="exact"/>
        <w:jc w:val="left"/>
        <w:rPr>
          <w:rFonts w:ascii="Times New Roman" w:eastAsia="仿宋_GB2312" w:hAnsi="Times New Roman"/>
          <w:sz w:val="32"/>
          <w:szCs w:val="32"/>
        </w:rPr>
      </w:pPr>
    </w:p>
    <w:p w14:paraId="5708376D"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《大连商品交易所风险管理办法》</w:t>
      </w:r>
    </w:p>
    <w:p w14:paraId="7143481B"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修订稿</w:t>
      </w:r>
    </w:p>
    <w:p w14:paraId="3D322926"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48615BAA" w14:textId="77777777" w:rsidR="00726163" w:rsidRPr="00167BE1" w:rsidRDefault="00726163" w:rsidP="003E3461">
      <w:pPr>
        <w:shd w:val="clear" w:color="auto" w:fill="FFFFFF"/>
        <w:jc w:val="center"/>
        <w:rPr>
          <w:rFonts w:ascii="黑体" w:eastAsia="黑体" w:hAnsi="黑体"/>
          <w:color w:val="333333"/>
          <w:kern w:val="0"/>
          <w:sz w:val="32"/>
          <w:szCs w:val="32"/>
        </w:rPr>
      </w:pPr>
      <w:r w:rsidRPr="00167BE1">
        <w:rPr>
          <w:rFonts w:ascii="黑体" w:eastAsia="黑体" w:hAnsi="黑体"/>
          <w:color w:val="333333"/>
          <w:kern w:val="0"/>
          <w:sz w:val="32"/>
          <w:szCs w:val="32"/>
        </w:rPr>
        <w:t>第一章 总则</w:t>
      </w:r>
    </w:p>
    <w:p w14:paraId="5A065FD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为了加强期货交易风险管理，维护期货交易各方的合法权益，保证大连商品交易所</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以下简称交易所</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期货交易正常的进行，根据《大连商品交易所交易规则》，制定本办法。</w:t>
      </w:r>
    </w:p>
    <w:p w14:paraId="4196FE0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交易所风险管理实行保证金制度、涨跌停板制度、限仓制度、交易限额制度、大户报告制度、强行平仓制度和风险警示制度。</w:t>
      </w:r>
    </w:p>
    <w:p w14:paraId="589C9E0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交易所、会员、境外经纪机构和客户必须遵守本办法。境外经纪机构应当辅助其委托交易结算的期货公司会员做好境外客户的强行平仓、大户报告、风险提示等工作。期货公司会员应当将涉及境外经纪机构客户的</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强行平仓通知书</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、强行平仓结果、风险提示函等及时通知境外经纪机构。</w:t>
      </w:r>
    </w:p>
    <w:p w14:paraId="0B681917" w14:textId="77777777" w:rsidR="00726163" w:rsidRPr="00167BE1" w:rsidRDefault="00726163" w:rsidP="003E3461">
      <w:pPr>
        <w:shd w:val="clear" w:color="auto" w:fill="FFFFFF"/>
        <w:jc w:val="center"/>
        <w:rPr>
          <w:rFonts w:ascii="黑体" w:eastAsia="黑体" w:hAnsi="黑体"/>
          <w:color w:val="333333"/>
          <w:kern w:val="0"/>
          <w:sz w:val="32"/>
          <w:szCs w:val="32"/>
        </w:rPr>
      </w:pPr>
      <w:r w:rsidRPr="00167BE1">
        <w:rPr>
          <w:rFonts w:ascii="黑体" w:eastAsia="黑体" w:hAnsi="黑体"/>
          <w:color w:val="333333"/>
          <w:kern w:val="0"/>
          <w:sz w:val="32"/>
          <w:szCs w:val="32"/>
        </w:rPr>
        <w:t>第二章 保证金制度</w:t>
      </w:r>
    </w:p>
    <w:p w14:paraId="33973BF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交易所实行保证金制度。各品种期货合约的最低交易保证金为合约价值的</w:t>
      </w:r>
      <w:r w:rsidRPr="00726163">
        <w:rPr>
          <w:rFonts w:ascii="Times New Roman" w:eastAsia="仿宋_GB2312" w:hAnsi="Times New Roman"/>
          <w:color w:val="333333"/>
          <w:kern w:val="0"/>
          <w:sz w:val="32"/>
          <w:szCs w:val="32"/>
        </w:rPr>
        <w:t>5%</w:t>
      </w:r>
      <w:r w:rsidRPr="00726163">
        <w:rPr>
          <w:rFonts w:ascii="Times New Roman" w:eastAsia="仿宋_GB2312" w:hAnsi="Times New Roman"/>
          <w:color w:val="333333"/>
          <w:kern w:val="0"/>
          <w:sz w:val="32"/>
          <w:szCs w:val="32"/>
        </w:rPr>
        <w:t>。</w:t>
      </w:r>
    </w:p>
    <w:p w14:paraId="4BE3ED1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新开仓交易保证金按前一交易日结算时交易保证金收取。</w:t>
      </w:r>
    </w:p>
    <w:p w14:paraId="020C337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交易所可以根据市场情况调整各合约交易保证金标准。</w:t>
      </w:r>
    </w:p>
    <w:p w14:paraId="291F7CC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自交易所上市的商品期货合约进入交割月份前一个月第十五个交易日起，交易所将分时间段逐步提高该合约的交易保证金。合约在某一交易时间段的交易保证金标准自该交易时间段起始日前一交易日结算时起执行。</w:t>
      </w:r>
    </w:p>
    <w:p w14:paraId="3803A82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交易所上市的商品期货合约临近交割期时交易保证金收取标准为：</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4830"/>
        <w:gridCol w:w="2573"/>
      </w:tblGrid>
      <w:tr w:rsidR="00726163" w:rsidRPr="00726163" w14:paraId="6C5BDA3B" w14:textId="77777777" w:rsidTr="0029228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55DACB"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交易时间段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B791AA"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交易保证金</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元</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手</w:t>
            </w:r>
            <w:r w:rsidRPr="00726163">
              <w:rPr>
                <w:rFonts w:ascii="Times New Roman" w:eastAsia="仿宋_GB2312" w:hAnsi="Times New Roman"/>
                <w:color w:val="333333"/>
                <w:kern w:val="0"/>
                <w:sz w:val="32"/>
                <w:szCs w:val="32"/>
              </w:rPr>
              <w:t>)</w:t>
            </w:r>
          </w:p>
        </w:tc>
      </w:tr>
      <w:tr w:rsidR="00726163" w:rsidRPr="00726163" w14:paraId="65F11E83" w14:textId="77777777" w:rsidTr="0029228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D00179"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交割月份前一个月第十五个交易日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D53222"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合约价值的</w:t>
            </w:r>
            <w:r w:rsidRPr="00726163">
              <w:rPr>
                <w:rFonts w:ascii="Times New Roman" w:eastAsia="仿宋_GB2312" w:hAnsi="Times New Roman"/>
                <w:color w:val="333333"/>
                <w:kern w:val="0"/>
                <w:sz w:val="32"/>
                <w:szCs w:val="32"/>
              </w:rPr>
              <w:t>10%</w:t>
            </w:r>
          </w:p>
        </w:tc>
      </w:tr>
      <w:tr w:rsidR="00726163" w:rsidRPr="00726163" w14:paraId="2089C6D8" w14:textId="77777777" w:rsidTr="0029228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2C7176"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交割月份第一个交易日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09AEF5"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合约价值的</w:t>
            </w:r>
            <w:r w:rsidRPr="00726163">
              <w:rPr>
                <w:rFonts w:ascii="Times New Roman" w:eastAsia="仿宋_GB2312" w:hAnsi="Times New Roman"/>
                <w:color w:val="333333"/>
                <w:kern w:val="0"/>
                <w:sz w:val="32"/>
                <w:szCs w:val="32"/>
              </w:rPr>
              <w:t>20%</w:t>
            </w:r>
          </w:p>
        </w:tc>
      </w:tr>
    </w:tbl>
    <w:p w14:paraId="609E1E2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交易所可根据合约持仓量的增加提高交易保证金标准，并向市场公布。</w:t>
      </w:r>
    </w:p>
    <w:p w14:paraId="2CF7247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交易所可以分时间段根据合约持仓量的变化调整该合约的交易保证金。</w:t>
      </w:r>
    </w:p>
    <w:p w14:paraId="203EDDD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对于乙二醇期货合约，自交割月前一个月第一个交易日至该月第十四个交易日期间，若某日结算时该合约的单边持仓量达到</w:t>
      </w:r>
      <w:r w:rsidRPr="00726163">
        <w:rPr>
          <w:rFonts w:ascii="Times New Roman" w:eastAsia="仿宋_GB2312" w:hAnsi="Times New Roman"/>
          <w:color w:val="333333"/>
          <w:kern w:val="0"/>
          <w:sz w:val="32"/>
          <w:szCs w:val="32"/>
        </w:rPr>
        <w:t>120,000</w:t>
      </w:r>
      <w:r w:rsidRPr="00726163">
        <w:rPr>
          <w:rFonts w:ascii="Times New Roman" w:eastAsia="仿宋_GB2312" w:hAnsi="Times New Roman"/>
          <w:color w:val="333333"/>
          <w:kern w:val="0"/>
          <w:sz w:val="32"/>
          <w:szCs w:val="32"/>
        </w:rPr>
        <w:t>手及以上，则自当日结算时至该月第十四个交易日结算时，该合约的交易保证金按照合约价值的</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收取。自交割月前一个月第十五个交易日至该月最后一个交易日期间，若某日结算时该合约的单边持仓量达到</w:t>
      </w:r>
      <w:r w:rsidRPr="00726163">
        <w:rPr>
          <w:rFonts w:ascii="Times New Roman" w:eastAsia="仿宋_GB2312" w:hAnsi="Times New Roman"/>
          <w:color w:val="333333"/>
          <w:kern w:val="0"/>
          <w:sz w:val="32"/>
          <w:szCs w:val="32"/>
        </w:rPr>
        <w:t>80,000</w:t>
      </w:r>
      <w:r w:rsidRPr="00726163">
        <w:rPr>
          <w:rFonts w:ascii="Times New Roman" w:eastAsia="仿宋_GB2312" w:hAnsi="Times New Roman"/>
          <w:color w:val="333333"/>
          <w:kern w:val="0"/>
          <w:sz w:val="32"/>
          <w:szCs w:val="32"/>
        </w:rPr>
        <w:t>手及以上，则自当日结算时至该月最后一个交易日结算时，该合约的交易保证金按照合约价值的</w:t>
      </w:r>
      <w:r w:rsidRPr="00726163">
        <w:rPr>
          <w:rFonts w:ascii="Times New Roman" w:eastAsia="仿宋_GB2312" w:hAnsi="Times New Roman"/>
          <w:color w:val="333333"/>
          <w:kern w:val="0"/>
          <w:sz w:val="32"/>
          <w:szCs w:val="32"/>
        </w:rPr>
        <w:t>20%</w:t>
      </w:r>
      <w:r w:rsidRPr="00726163">
        <w:rPr>
          <w:rFonts w:ascii="Times New Roman" w:eastAsia="仿宋_GB2312" w:hAnsi="Times New Roman"/>
          <w:color w:val="333333"/>
          <w:kern w:val="0"/>
          <w:sz w:val="32"/>
          <w:szCs w:val="32"/>
        </w:rPr>
        <w:t>收取。</w:t>
      </w:r>
    </w:p>
    <w:p w14:paraId="26D08D0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当某期货合约出现涨跌停板的情况，则该期货合约的交易保证金按本办法第三章的有关规定执行。</w:t>
      </w:r>
    </w:p>
    <w:p w14:paraId="29BFAAF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当某期货合约连续三个交易日按结算价计算的涨（跌）幅之和达到合约规定的最大涨跌幅的</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倍，连续四个交易日按结算价计算的涨（跌）幅之和达到合约规定的最大涨跌幅的</w:t>
      </w:r>
      <w:r w:rsidRPr="00726163">
        <w:rPr>
          <w:rFonts w:ascii="Times New Roman" w:eastAsia="仿宋_GB2312" w:hAnsi="Times New Roman"/>
          <w:color w:val="333333"/>
          <w:kern w:val="0"/>
          <w:sz w:val="32"/>
          <w:szCs w:val="32"/>
        </w:rPr>
        <w:t>2.5</w:t>
      </w:r>
      <w:r w:rsidRPr="00726163">
        <w:rPr>
          <w:rFonts w:ascii="Times New Roman" w:eastAsia="仿宋_GB2312" w:hAnsi="Times New Roman"/>
          <w:color w:val="333333"/>
          <w:kern w:val="0"/>
          <w:sz w:val="32"/>
          <w:szCs w:val="32"/>
        </w:rPr>
        <w:t>倍，连续五个交易日按结算价计算的涨（跌）幅之和达到合约规定的最大涨跌幅的</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倍时，交易所有权根据市场情况，采取单边或双边、同比例或不同比例、部分会员或全部会员提高交易保证金的措施。提高交易保证金的幅度不高于合约规定交易保证金的</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倍。</w:t>
      </w:r>
    </w:p>
    <w:p w14:paraId="390EF35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交易所采取上述措施须事先报告中国证监会。</w:t>
      </w:r>
    </w:p>
    <w:p w14:paraId="0D9A252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如遇法定节假日休市时间较长，交易所可以根据市场情况在休市前调整合约交易保证金标准和涨跌停板幅度。</w:t>
      </w:r>
    </w:p>
    <w:p w14:paraId="6D8F124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两种方式建立组合持仓；结算时，交易所可以将符合条件的持仓按照一定规则自动组合成组合持仓。</w:t>
      </w:r>
    </w:p>
    <w:p w14:paraId="24BCAC2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适用于组合持仓的品种、合约、组合类型、组合方式、组合优先级、交易保证金标准等，由交易所另行公布。交易所可以根据市场情况进行调整。</w:t>
      </w:r>
    </w:p>
    <w:p w14:paraId="7524E19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交易期间建立的组合持仓，按前一个交易日结算时的组合持仓交易保证金标准收取保证金，保证金不足的按照《大连商品交易所结算管理办法》等规则规定执行。</w:t>
      </w:r>
    </w:p>
    <w:p w14:paraId="22EED85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结算时，交易所对组合持仓按照当日公布的组合持仓交易保证金标准收取保证金。</w:t>
      </w:r>
    </w:p>
    <w:p w14:paraId="3FED3E1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同一交易编码持仓平仓，交易所在计算保证金时</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视为先平非组合持仓后平组合持仓，组合持仓内部按照组合优先级从低到高顺序进行平仓。</w:t>
      </w:r>
    </w:p>
    <w:p w14:paraId="0B74E29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对同时满足本办法有关调整交易保证金规定的合约，其交易保证金按照规定交易保证金数值中的较大值收取。</w:t>
      </w:r>
    </w:p>
    <w:p w14:paraId="1E2463BD" w14:textId="77777777" w:rsidR="00726163" w:rsidRPr="00726163" w:rsidRDefault="00726163" w:rsidP="003E3461">
      <w:pPr>
        <w:shd w:val="clear" w:color="auto" w:fill="FFFFFF"/>
        <w:jc w:val="cente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第三章</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涨跌停板制度</w:t>
      </w:r>
    </w:p>
    <w:p w14:paraId="751310B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交易所实行价格涨跌停板制度，由交易所制定各期货合约的每日最大价格波动幅度。交易所可以根据市场情况调整各合约涨跌停板幅度。</w:t>
      </w:r>
    </w:p>
    <w:p w14:paraId="777437A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对同时满足本办法有关调整涨跌停板幅度规定的合约，其涨跌停板幅度按照规定涨跌停板幅度数值中的较大值确定。</w:t>
      </w:r>
    </w:p>
    <w:p w14:paraId="408719E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各品种期货合约交割月份以前的月份涨跌停板幅度为上一交易日结算价的</w:t>
      </w:r>
      <w:r w:rsidRPr="00726163">
        <w:rPr>
          <w:rFonts w:ascii="Times New Roman" w:eastAsia="仿宋_GB2312" w:hAnsi="Times New Roman"/>
          <w:color w:val="333333"/>
          <w:kern w:val="0"/>
          <w:sz w:val="32"/>
          <w:szCs w:val="32"/>
        </w:rPr>
        <w:t>4%</w:t>
      </w:r>
      <w:r w:rsidRPr="00726163">
        <w:rPr>
          <w:rFonts w:ascii="Times New Roman" w:eastAsia="仿宋_GB2312" w:hAnsi="Times New Roman"/>
          <w:color w:val="333333"/>
          <w:kern w:val="0"/>
          <w:sz w:val="32"/>
          <w:szCs w:val="32"/>
        </w:rPr>
        <w:t>，交割月份的涨跌停板幅度为上一交易日结算价的</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w:t>
      </w:r>
    </w:p>
    <w:p w14:paraId="19F92A2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14:paraId="06D2EA5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当某期货合约以涨跌停板价格申报时，成交撮合原则实行平仓优先和时间优先的原则。</w:t>
      </w:r>
    </w:p>
    <w:p w14:paraId="6474F31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跌</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停板单边无连续报价是指某一期货合约在某一交易日收市前</w:t>
      </w:r>
      <w:r w:rsidRPr="00726163">
        <w:rPr>
          <w:rFonts w:ascii="Times New Roman" w:eastAsia="仿宋_GB2312" w:hAnsi="Times New Roman"/>
          <w:color w:val="333333"/>
          <w:kern w:val="0"/>
          <w:sz w:val="32"/>
          <w:szCs w:val="32"/>
        </w:rPr>
        <w:t>5</w:t>
      </w:r>
      <w:r w:rsidRPr="00726163">
        <w:rPr>
          <w:rFonts w:ascii="Times New Roman" w:eastAsia="仿宋_GB2312" w:hAnsi="Times New Roman"/>
          <w:color w:val="333333"/>
          <w:kern w:val="0"/>
          <w:sz w:val="32"/>
          <w:szCs w:val="32"/>
        </w:rPr>
        <w:t>分钟内出现只有停板价位的买入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卖出</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申报、没有停板价位的卖出</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买入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申报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或者一有卖出</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买入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申报就成交、但未打开停板价位的情况。</w:t>
      </w:r>
    </w:p>
    <w:p w14:paraId="759E408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当交易所上市的商品期货合约在某一交易日（该交易日记为第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个交易日，之后第</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个、第</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个、第</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个交易日分别记为第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、第</w:t>
      </w:r>
      <w:r w:rsidRPr="00726163">
        <w:rPr>
          <w:rFonts w:ascii="Times New Roman" w:eastAsia="仿宋_GB2312" w:hAnsi="Times New Roman"/>
          <w:color w:val="333333"/>
          <w:kern w:val="0"/>
          <w:sz w:val="32"/>
          <w:szCs w:val="32"/>
        </w:rPr>
        <w:t>N+3</w:t>
      </w:r>
      <w:r w:rsidRPr="00726163">
        <w:rPr>
          <w:rFonts w:ascii="Times New Roman" w:eastAsia="仿宋_GB2312" w:hAnsi="Times New Roman"/>
          <w:color w:val="333333"/>
          <w:kern w:val="0"/>
          <w:sz w:val="32"/>
          <w:szCs w:val="32"/>
        </w:rPr>
        <w:t>个交易日，以此类推）出现涨跌停板单边无连续报价的情况，则该合约第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个交易日涨跌停板幅度在第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个交易日涨跌停板幅度的基础上增加</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个百分点（例，如果第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个交易日涨跌停板幅度为前一交易日结算价的</w:t>
      </w:r>
      <w:r w:rsidRPr="00726163">
        <w:rPr>
          <w:rFonts w:ascii="Times New Roman" w:eastAsia="仿宋_GB2312" w:hAnsi="Times New Roman"/>
          <w:color w:val="333333"/>
          <w:kern w:val="0"/>
          <w:sz w:val="32"/>
          <w:szCs w:val="32"/>
        </w:rPr>
        <w:t>4%</w:t>
      </w:r>
      <w:r w:rsidRPr="00726163">
        <w:rPr>
          <w:rFonts w:ascii="Times New Roman" w:eastAsia="仿宋_GB2312" w:hAnsi="Times New Roman"/>
          <w:color w:val="333333"/>
          <w:kern w:val="0"/>
          <w:sz w:val="32"/>
          <w:szCs w:val="32"/>
        </w:rPr>
        <w:t>，则第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个交易日涨跌停板幅度则为第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个交易日结算价的</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，下同）。第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个交易日结算时，该合约交易保证金标准为在第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个交易日涨跌停板幅度的基础上增加</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个百分点（例，如果第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个交易日涨跌停板幅度为第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个交易日结算价的</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，则第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个交易日结算时，该合约保证金标准为合约价值的</w:t>
      </w:r>
      <w:r w:rsidRPr="00726163">
        <w:rPr>
          <w:rFonts w:ascii="Times New Roman" w:eastAsia="仿宋_GB2312" w:hAnsi="Times New Roman"/>
          <w:color w:val="333333"/>
          <w:kern w:val="0"/>
          <w:sz w:val="32"/>
          <w:szCs w:val="32"/>
        </w:rPr>
        <w:t>9%</w:t>
      </w:r>
      <w:r w:rsidRPr="00726163">
        <w:rPr>
          <w:rFonts w:ascii="Times New Roman" w:eastAsia="仿宋_GB2312" w:hAnsi="Times New Roman"/>
          <w:color w:val="333333"/>
          <w:kern w:val="0"/>
          <w:sz w:val="32"/>
          <w:szCs w:val="32"/>
        </w:rPr>
        <w:t>，下同）。若该合约调整后的交易保证金标准低于第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个交易日前一交易日结算时的交易保证金标准，则按第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个交易日前一交易日结算时该合约交易保证金标准收取；若第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个交易日为该合约上市挂盘后第</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个交易日，则该合约上市挂盘当日交易保证金标准视为该合约第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个交易日前一交易日结算时的交易保证金标准。</w:t>
      </w:r>
    </w:p>
    <w:p w14:paraId="531F257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个交易日出现与第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个交易日同方向涨跌停板单边无连续报价的情况，则该合约第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个交易日涨跌停板幅度在第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个交易日涨跌停板幅度的基础上增加</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个百分点。第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个交易日结算时，该合约交易保证金标准为在第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个交易日涨跌停板幅度的基础上增加</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个百分点。若该合约调整后的交易保证金标准低于第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个交易日结算时的交易保证金标准，则按第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个交易日结算时该合约的交易保证金标准收取。</w:t>
      </w:r>
    </w:p>
    <w:p w14:paraId="6CEDCBC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个及以后交易日出现与第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个交易日同方向涨跌停板单边无连续报价情况，则从第</w:t>
      </w:r>
      <w:r w:rsidRPr="00726163">
        <w:rPr>
          <w:rFonts w:ascii="Times New Roman" w:eastAsia="仿宋_GB2312" w:hAnsi="Times New Roman"/>
          <w:color w:val="333333"/>
          <w:kern w:val="0"/>
          <w:sz w:val="32"/>
          <w:szCs w:val="32"/>
        </w:rPr>
        <w:t>N+3</w:t>
      </w:r>
      <w:r w:rsidRPr="00726163">
        <w:rPr>
          <w:rFonts w:ascii="Times New Roman" w:eastAsia="仿宋_GB2312" w:hAnsi="Times New Roman"/>
          <w:color w:val="333333"/>
          <w:kern w:val="0"/>
          <w:sz w:val="32"/>
          <w:szCs w:val="32"/>
        </w:rPr>
        <w:t>个交易日开始，涨跌停板幅度和交易保证金标准与第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个交易日一致，直至合约不再出现同方向涨跌停板单边无连续报价的情况。</w:t>
      </w:r>
    </w:p>
    <w:p w14:paraId="79B07BC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个及以后交易日出现与前一交易日反方向涨跌停板单边无连续报价的情况，则该交易日视为第</w:t>
      </w:r>
      <w:r w:rsidRPr="00726163">
        <w:rPr>
          <w:rFonts w:ascii="Times New Roman" w:eastAsia="仿宋_GB2312" w:hAnsi="Times New Roman"/>
          <w:color w:val="333333"/>
          <w:kern w:val="0"/>
          <w:sz w:val="32"/>
          <w:szCs w:val="32"/>
        </w:rPr>
        <w:t>N</w:t>
      </w:r>
      <w:r w:rsidRPr="00726163">
        <w:rPr>
          <w:rFonts w:ascii="Times New Roman" w:eastAsia="仿宋_GB2312" w:hAnsi="Times New Roman"/>
          <w:color w:val="333333"/>
          <w:kern w:val="0"/>
          <w:sz w:val="32"/>
          <w:szCs w:val="32"/>
        </w:rPr>
        <w:t>个交易日。</w:t>
      </w:r>
    </w:p>
    <w:p w14:paraId="028A128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个及以后交易日未出现涨跌停板单边无连续报价的情况，则该交易日结算时交易保证金恢复到正常水平，下一交易日的涨跌停板幅度恢复到正常水平。</w:t>
      </w:r>
    </w:p>
    <w:p w14:paraId="05F6BC8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若某期货合约在第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个交易日出现与第</w:t>
      </w:r>
      <w:r w:rsidRPr="00726163">
        <w:rPr>
          <w:rFonts w:ascii="Times New Roman" w:eastAsia="仿宋_GB2312" w:hAnsi="Times New Roman"/>
          <w:color w:val="333333"/>
          <w:kern w:val="0"/>
          <w:sz w:val="32"/>
          <w:szCs w:val="32"/>
        </w:rPr>
        <w:t>N+1</w:t>
      </w:r>
      <w:r w:rsidRPr="00726163">
        <w:rPr>
          <w:rFonts w:ascii="Times New Roman" w:eastAsia="仿宋_GB2312" w:hAnsi="Times New Roman"/>
          <w:color w:val="333333"/>
          <w:kern w:val="0"/>
          <w:sz w:val="32"/>
          <w:szCs w:val="32"/>
        </w:rPr>
        <w:t>个交易日同方向涨跌停板单边无连续报价的情况时，若第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个交易日是该期货合约的最后交易日，则该合约直接进入交割；若第</w:t>
      </w:r>
      <w:r w:rsidRPr="00726163">
        <w:rPr>
          <w:rFonts w:ascii="Times New Roman" w:eastAsia="仿宋_GB2312" w:hAnsi="Times New Roman"/>
          <w:color w:val="333333"/>
          <w:kern w:val="0"/>
          <w:sz w:val="32"/>
          <w:szCs w:val="32"/>
        </w:rPr>
        <w:t>N+3</w:t>
      </w:r>
      <w:r w:rsidRPr="00726163">
        <w:rPr>
          <w:rFonts w:ascii="Times New Roman" w:eastAsia="仿宋_GB2312" w:hAnsi="Times New Roman"/>
          <w:color w:val="333333"/>
          <w:kern w:val="0"/>
          <w:sz w:val="32"/>
          <w:szCs w:val="32"/>
        </w:rPr>
        <w:t>个交易日是该期货合约的最后交易日，则第</w:t>
      </w:r>
      <w:r w:rsidRPr="00726163">
        <w:rPr>
          <w:rFonts w:ascii="Times New Roman" w:eastAsia="仿宋_GB2312" w:hAnsi="Times New Roman"/>
          <w:color w:val="333333"/>
          <w:kern w:val="0"/>
          <w:sz w:val="32"/>
          <w:szCs w:val="32"/>
        </w:rPr>
        <w:t>N+3</w:t>
      </w:r>
      <w:r w:rsidRPr="00726163">
        <w:rPr>
          <w:rFonts w:ascii="Times New Roman" w:eastAsia="仿宋_GB2312" w:hAnsi="Times New Roman"/>
          <w:color w:val="333333"/>
          <w:kern w:val="0"/>
          <w:sz w:val="32"/>
          <w:szCs w:val="32"/>
        </w:rPr>
        <w:t>个交易日该合约按第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个交易日的涨跌停板和保证金水平继续交易。除上述两种情况之外，交易所可在第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个交易日收市后决定并公告，对该合约实施下列措施中的一种或多种化解市场风险：</w:t>
      </w:r>
    </w:p>
    <w:p w14:paraId="65AAA8C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（一）单边或双边、同比例或不同比例、部分会员或全部会员提高交易保证金；</w:t>
      </w:r>
    </w:p>
    <w:p w14:paraId="5F1A048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（二）调整涨跌停板幅度；</w:t>
      </w:r>
    </w:p>
    <w:p w14:paraId="042C474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（三）暂停部分会员或全部会员开新仓；</w:t>
      </w:r>
    </w:p>
    <w:p w14:paraId="31B6091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（四）限制出金；</w:t>
      </w:r>
    </w:p>
    <w:p w14:paraId="2F86881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（五）限期平仓；</w:t>
      </w:r>
    </w:p>
    <w:p w14:paraId="5720066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（六）强行平仓；</w:t>
      </w:r>
    </w:p>
    <w:p w14:paraId="02A205F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（七）在第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个交易日收市后强制减仓。</w:t>
      </w:r>
    </w:p>
    <w:p w14:paraId="1CCBB43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强制减仓是指交易所将当日以涨跌停板价申报的未成交平仓报单</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以当日涨跌停板价与该合约净持仓盈利客户</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或非期货公司会员，下同</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按持仓比例自动撮合成交。同一客户持有双向头寸</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则其净持仓部分的平仓报单参与强制减仓计算，其余平仓报单与其对锁持仓自动对冲。具体强制减仓方法如下：</w:t>
      </w:r>
    </w:p>
    <w:p w14:paraId="4DCC7F0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（一）申报平仓数量的确定</w:t>
      </w:r>
      <w:r w:rsidRPr="00726163">
        <w:rPr>
          <w:rFonts w:ascii="Times New Roman" w:eastAsia="仿宋_GB2312" w:hAnsi="Times New Roman"/>
          <w:color w:val="333333"/>
          <w:kern w:val="0"/>
          <w:sz w:val="32"/>
          <w:szCs w:val="32"/>
        </w:rPr>
        <w:t>:</w:t>
      </w:r>
    </w:p>
    <w:p w14:paraId="3931844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在第</w:t>
      </w:r>
      <w:r w:rsidRPr="00726163">
        <w:rPr>
          <w:rFonts w:ascii="Times New Roman" w:eastAsia="仿宋_GB2312" w:hAnsi="Times New Roman"/>
          <w:color w:val="333333"/>
          <w:kern w:val="0"/>
          <w:sz w:val="32"/>
          <w:szCs w:val="32"/>
        </w:rPr>
        <w:t>N +2</w:t>
      </w:r>
      <w:r w:rsidRPr="00726163">
        <w:rPr>
          <w:rFonts w:ascii="Times New Roman" w:eastAsia="仿宋_GB2312" w:hAnsi="Times New Roman"/>
          <w:color w:val="333333"/>
          <w:kern w:val="0"/>
          <w:sz w:val="32"/>
          <w:szCs w:val="32"/>
        </w:rPr>
        <w:t>个交易日收市后</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已在计算机系统中以涨跌停板价申报无法成交的、且客户合约的单位净持仓亏损大于或等于第</w:t>
      </w:r>
      <w:r w:rsidRPr="00726163">
        <w:rPr>
          <w:rFonts w:ascii="Times New Roman" w:eastAsia="仿宋_GB2312" w:hAnsi="Times New Roman"/>
          <w:color w:val="333333"/>
          <w:kern w:val="0"/>
          <w:sz w:val="32"/>
          <w:szCs w:val="32"/>
        </w:rPr>
        <w:t>N +2</w:t>
      </w:r>
      <w:r w:rsidRPr="00726163">
        <w:rPr>
          <w:rFonts w:ascii="Times New Roman" w:eastAsia="仿宋_GB2312" w:hAnsi="Times New Roman"/>
          <w:color w:val="333333"/>
          <w:kern w:val="0"/>
          <w:sz w:val="32"/>
          <w:szCs w:val="32"/>
        </w:rPr>
        <w:t>个交易日结算价的</w:t>
      </w:r>
      <w:r w:rsidRPr="00726163">
        <w:rPr>
          <w:rFonts w:ascii="Times New Roman" w:eastAsia="仿宋_GB2312" w:hAnsi="Times New Roman"/>
          <w:color w:val="333333"/>
          <w:kern w:val="0"/>
          <w:sz w:val="32"/>
          <w:szCs w:val="32"/>
        </w:rPr>
        <w:t>5%</w:t>
      </w:r>
      <w:r w:rsidRPr="00726163">
        <w:rPr>
          <w:rFonts w:ascii="Times New Roman" w:eastAsia="仿宋_GB2312" w:hAnsi="Times New Roman"/>
          <w:color w:val="333333"/>
          <w:kern w:val="0"/>
          <w:sz w:val="32"/>
          <w:szCs w:val="32"/>
        </w:rPr>
        <w:t>（棕榈油合约标准为</w:t>
      </w:r>
      <w:r w:rsidRPr="00726163">
        <w:rPr>
          <w:rFonts w:ascii="Times New Roman" w:eastAsia="仿宋_GB2312" w:hAnsi="Times New Roman"/>
          <w:color w:val="333333"/>
          <w:kern w:val="0"/>
          <w:sz w:val="32"/>
          <w:szCs w:val="32"/>
        </w:rPr>
        <w:t>4%</w:t>
      </w:r>
      <w:r w:rsidRPr="00726163">
        <w:rPr>
          <w:rFonts w:ascii="Times New Roman" w:eastAsia="仿宋_GB2312" w:hAnsi="Times New Roman"/>
          <w:color w:val="333333"/>
          <w:kern w:val="0"/>
          <w:sz w:val="32"/>
          <w:szCs w:val="32"/>
        </w:rPr>
        <w:t>）的所有持仓。</w:t>
      </w:r>
    </w:p>
    <w:p w14:paraId="3BADABF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若客户不愿按上述方法平仓可在收市前撤单</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不作为申报的平仓报单。</w:t>
      </w:r>
    </w:p>
    <w:p w14:paraId="10AAA70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（二）客户单位净持仓盈亏的确定</w:t>
      </w:r>
      <w:r w:rsidRPr="00726163">
        <w:rPr>
          <w:rFonts w:ascii="Times New Roman" w:eastAsia="仿宋_GB2312" w:hAnsi="Times New Roman"/>
          <w:color w:val="333333"/>
          <w:kern w:val="0"/>
          <w:sz w:val="32"/>
          <w:szCs w:val="32"/>
        </w:rPr>
        <w:t>:</w:t>
      </w:r>
    </w:p>
    <w:p w14:paraId="7DD59266" w14:textId="77777777" w:rsidR="00726163" w:rsidRPr="00726163" w:rsidRDefault="00726163" w:rsidP="003E3461">
      <w:pPr>
        <w:shd w:val="clear" w:color="auto" w:fill="FFFFFF"/>
        <w:ind w:firstLineChars="1500" w:firstLine="3600"/>
        <w:rPr>
          <w:rFonts w:ascii="Times New Roman" w:eastAsia="仿宋_GB2312" w:hAnsi="Times New Roman"/>
          <w:color w:val="333333"/>
          <w:kern w:val="0"/>
          <w:sz w:val="24"/>
          <w:szCs w:val="24"/>
        </w:rPr>
      </w:pPr>
      <w:r w:rsidRPr="00726163">
        <w:rPr>
          <w:rFonts w:ascii="Times New Roman" w:eastAsia="仿宋_GB2312" w:hAnsi="Times New Roman"/>
          <w:color w:val="333333"/>
          <w:kern w:val="0"/>
          <w:sz w:val="24"/>
          <w:szCs w:val="24"/>
        </w:rPr>
        <w:t xml:space="preserve">      </w:t>
      </w:r>
      <w:r w:rsidRPr="00726163">
        <w:rPr>
          <w:rFonts w:ascii="Times New Roman" w:eastAsia="仿宋_GB2312" w:hAnsi="Times New Roman"/>
          <w:color w:val="333333"/>
          <w:kern w:val="0"/>
          <w:sz w:val="24"/>
          <w:szCs w:val="24"/>
        </w:rPr>
        <w:t>客户该合约持仓盈亏总和</w:t>
      </w:r>
    </w:p>
    <w:p w14:paraId="055E4660" w14:textId="77777777" w:rsidR="00726163" w:rsidRPr="00726163" w:rsidRDefault="00726163" w:rsidP="003E3461">
      <w:pPr>
        <w:shd w:val="clear" w:color="auto" w:fill="FFFFFF"/>
        <w:rPr>
          <w:rFonts w:ascii="Times New Roman" w:eastAsia="仿宋_GB2312" w:hAnsi="Times New Roman"/>
          <w:color w:val="333333"/>
          <w:kern w:val="0"/>
          <w:sz w:val="24"/>
          <w:szCs w:val="24"/>
        </w:rPr>
      </w:pPr>
      <w:r w:rsidRPr="00726163">
        <w:rPr>
          <w:rFonts w:ascii="Times New Roman" w:eastAsia="仿宋_GB2312" w:hAnsi="Times New Roman"/>
          <w:color w:val="333333"/>
          <w:kern w:val="0"/>
          <w:sz w:val="24"/>
          <w:szCs w:val="24"/>
        </w:rPr>
        <w:t xml:space="preserve">　　客户该合约单位净持仓盈亏</w:t>
      </w:r>
      <w:r w:rsidRPr="00726163">
        <w:rPr>
          <w:rFonts w:ascii="Times New Roman" w:eastAsia="仿宋_GB2312" w:hAnsi="Times New Roman"/>
          <w:color w:val="333333"/>
          <w:kern w:val="0"/>
          <w:sz w:val="24"/>
          <w:szCs w:val="24"/>
        </w:rPr>
        <w:t>= ──────────────────</w:t>
      </w:r>
    </w:p>
    <w:p w14:paraId="0CBE72F9" w14:textId="77777777" w:rsidR="00726163" w:rsidRPr="00726163" w:rsidRDefault="00726163" w:rsidP="003E3461">
      <w:pPr>
        <w:shd w:val="clear" w:color="auto" w:fill="FFFFFF"/>
        <w:rPr>
          <w:rFonts w:ascii="Times New Roman" w:eastAsia="仿宋_GB2312" w:hAnsi="Times New Roman"/>
          <w:color w:val="333333"/>
          <w:kern w:val="0"/>
          <w:sz w:val="24"/>
          <w:szCs w:val="24"/>
        </w:rPr>
      </w:pPr>
      <w:r w:rsidRPr="00726163">
        <w:rPr>
          <w:rFonts w:ascii="Times New Roman" w:eastAsia="仿宋_GB2312" w:hAnsi="Times New Roman"/>
          <w:color w:val="333333"/>
          <w:kern w:val="0"/>
          <w:sz w:val="24"/>
          <w:szCs w:val="24"/>
        </w:rPr>
        <w:t xml:space="preserve">　</w:t>
      </w:r>
      <w:r w:rsidRPr="00726163">
        <w:rPr>
          <w:rFonts w:ascii="Times New Roman" w:eastAsia="仿宋_GB2312" w:hAnsi="Times New Roman"/>
          <w:color w:val="333333"/>
          <w:kern w:val="0"/>
          <w:sz w:val="24"/>
          <w:szCs w:val="24"/>
        </w:rPr>
        <w:t xml:space="preserve">                                                  </w:t>
      </w:r>
      <w:r w:rsidRPr="00726163">
        <w:rPr>
          <w:rFonts w:ascii="Times New Roman" w:eastAsia="仿宋_GB2312" w:hAnsi="Times New Roman"/>
          <w:color w:val="333333"/>
          <w:kern w:val="0"/>
          <w:sz w:val="24"/>
          <w:szCs w:val="24"/>
        </w:rPr>
        <w:t>客户该合约净持仓量</w:t>
      </w:r>
      <w:r w:rsidRPr="00726163">
        <w:rPr>
          <w:rFonts w:ascii="Times New Roman" w:eastAsia="仿宋_GB2312" w:hAnsi="Times New Roman"/>
          <w:color w:val="333333"/>
          <w:kern w:val="0"/>
          <w:sz w:val="24"/>
          <w:szCs w:val="24"/>
        </w:rPr>
        <w:t>×</w:t>
      </w:r>
      <w:r w:rsidRPr="00726163">
        <w:rPr>
          <w:rFonts w:ascii="Times New Roman" w:eastAsia="仿宋_GB2312" w:hAnsi="Times New Roman"/>
          <w:color w:val="333333"/>
          <w:kern w:val="0"/>
          <w:sz w:val="24"/>
          <w:szCs w:val="24"/>
        </w:rPr>
        <w:t>交易单位</w:t>
      </w:r>
    </w:p>
    <w:p w14:paraId="014D606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客户该合约持仓盈亏总和，是指客户该合约的全部持仓按其实际成交价与当日结算价之差计算的盈亏总和。</w:t>
      </w:r>
    </w:p>
    <w:p w14:paraId="1076F2E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（三）净持仓盈利客户平仓范围的确定</w:t>
      </w:r>
      <w:r w:rsidRPr="00726163">
        <w:rPr>
          <w:rFonts w:ascii="Times New Roman" w:eastAsia="仿宋_GB2312" w:hAnsi="Times New Roman"/>
          <w:color w:val="333333"/>
          <w:kern w:val="0"/>
          <w:sz w:val="32"/>
          <w:szCs w:val="32"/>
        </w:rPr>
        <w:t>:</w:t>
      </w:r>
    </w:p>
    <w:p w14:paraId="3E51725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根据上述方法计算的客户单位净持仓盈利大于零的客户的所有投机持仓以及客户单位净持仓盈利大于或等于第</w:t>
      </w:r>
      <w:r w:rsidRPr="00726163">
        <w:rPr>
          <w:rFonts w:ascii="Times New Roman" w:eastAsia="仿宋_GB2312" w:hAnsi="Times New Roman"/>
          <w:color w:val="333333"/>
          <w:kern w:val="0"/>
          <w:sz w:val="32"/>
          <w:szCs w:val="32"/>
        </w:rPr>
        <w:t>N +2</w:t>
      </w:r>
      <w:r w:rsidRPr="00726163">
        <w:rPr>
          <w:rFonts w:ascii="Times New Roman" w:eastAsia="仿宋_GB2312" w:hAnsi="Times New Roman"/>
          <w:color w:val="333333"/>
          <w:kern w:val="0"/>
          <w:sz w:val="32"/>
          <w:szCs w:val="32"/>
        </w:rPr>
        <w:t>个交易日结算价的</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的保值持仓都列入平仓范围。</w:t>
      </w:r>
    </w:p>
    <w:p w14:paraId="559B701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（四）平仓数量的分配原则及方法</w:t>
      </w:r>
      <w:r w:rsidRPr="00726163">
        <w:rPr>
          <w:rFonts w:ascii="Times New Roman" w:eastAsia="仿宋_GB2312" w:hAnsi="Times New Roman"/>
          <w:color w:val="333333"/>
          <w:kern w:val="0"/>
          <w:sz w:val="32"/>
          <w:szCs w:val="32"/>
        </w:rPr>
        <w:t>:</w:t>
      </w:r>
    </w:p>
    <w:p w14:paraId="47272E3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1. </w:t>
      </w:r>
      <w:r w:rsidRPr="00726163">
        <w:rPr>
          <w:rFonts w:ascii="Times New Roman" w:eastAsia="仿宋_GB2312" w:hAnsi="Times New Roman"/>
          <w:color w:val="333333"/>
          <w:kern w:val="0"/>
          <w:sz w:val="32"/>
          <w:szCs w:val="32"/>
        </w:rPr>
        <w:t>平仓数量的分配原则</w:t>
      </w:r>
    </w:p>
    <w:p w14:paraId="4524DF5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）在平仓范围内按盈利的大小和投机与保值的不同分成四级</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逐级进行分配。</w:t>
      </w:r>
    </w:p>
    <w:p w14:paraId="329964B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首先分配给属平仓范围内单位净持仓盈利大于或等于第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个交易日结算价的</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以上的投机持仓（以下简称盈利</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以上的投机持仓）</w:t>
      </w:r>
      <w:r w:rsidRPr="00726163">
        <w:rPr>
          <w:rFonts w:ascii="Times New Roman" w:eastAsia="仿宋_GB2312" w:hAnsi="Times New Roman"/>
          <w:color w:val="333333"/>
          <w:kern w:val="0"/>
          <w:sz w:val="32"/>
          <w:szCs w:val="32"/>
        </w:rPr>
        <w:t>;</w:t>
      </w:r>
    </w:p>
    <w:p w14:paraId="41B8FB2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其次分配给单位净持仓盈利大于或等于第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个交易日结算价的</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以上而小于</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的投机持仓（以下简称盈利</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以上的投机持仓）</w:t>
      </w:r>
      <w:r w:rsidRPr="00726163">
        <w:rPr>
          <w:rFonts w:ascii="Times New Roman" w:eastAsia="仿宋_GB2312" w:hAnsi="Times New Roman"/>
          <w:color w:val="333333"/>
          <w:kern w:val="0"/>
          <w:sz w:val="32"/>
          <w:szCs w:val="32"/>
        </w:rPr>
        <w:t>;</w:t>
      </w:r>
    </w:p>
    <w:p w14:paraId="7088A02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再次分配给单位净持仓盈利小于第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个交易日结算价的</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而大于零的投机持仓（以下简称盈利大于零的投机持仓）</w:t>
      </w:r>
      <w:r w:rsidRPr="00726163">
        <w:rPr>
          <w:rFonts w:ascii="Times New Roman" w:eastAsia="仿宋_GB2312" w:hAnsi="Times New Roman"/>
          <w:color w:val="333333"/>
          <w:kern w:val="0"/>
          <w:sz w:val="32"/>
          <w:szCs w:val="32"/>
        </w:rPr>
        <w:t>;</w:t>
      </w:r>
    </w:p>
    <w:p w14:paraId="4474B17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最后分配给单位净持仓盈利大于或等于第</w:t>
      </w:r>
      <w:r w:rsidRPr="00726163">
        <w:rPr>
          <w:rFonts w:ascii="Times New Roman" w:eastAsia="仿宋_GB2312" w:hAnsi="Times New Roman"/>
          <w:color w:val="333333"/>
          <w:kern w:val="0"/>
          <w:sz w:val="32"/>
          <w:szCs w:val="32"/>
        </w:rPr>
        <w:t>N+2</w:t>
      </w:r>
      <w:r w:rsidRPr="00726163">
        <w:rPr>
          <w:rFonts w:ascii="Times New Roman" w:eastAsia="仿宋_GB2312" w:hAnsi="Times New Roman"/>
          <w:color w:val="333333"/>
          <w:kern w:val="0"/>
          <w:sz w:val="32"/>
          <w:szCs w:val="32"/>
        </w:rPr>
        <w:t>个交易日结算价的</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的保值持仓（以下简称盈利</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保值持仓）。</w:t>
      </w:r>
    </w:p>
    <w:p w14:paraId="4BC9E09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）以上各级分配比例均按申报平仓数量</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剩余申报平仓数量</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与各级可平仓的盈利持仓数量之比进行分配。</w:t>
      </w:r>
    </w:p>
    <w:p w14:paraId="1ABA45C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2. </w:t>
      </w:r>
      <w:r w:rsidRPr="00726163">
        <w:rPr>
          <w:rFonts w:ascii="Times New Roman" w:eastAsia="仿宋_GB2312" w:hAnsi="Times New Roman"/>
          <w:color w:val="333333"/>
          <w:kern w:val="0"/>
          <w:sz w:val="32"/>
          <w:szCs w:val="32"/>
        </w:rPr>
        <w:t>平仓数量的分配方法及步骤</w:t>
      </w:r>
      <w:r w:rsidRPr="00726163">
        <w:rPr>
          <w:rFonts w:ascii="Times New Roman" w:eastAsia="仿宋_GB2312" w:hAnsi="Times New Roman"/>
          <w:color w:val="333333"/>
          <w:kern w:val="0"/>
          <w:sz w:val="32"/>
          <w:szCs w:val="32"/>
        </w:rPr>
        <w:t>:</w:t>
      </w:r>
    </w:p>
    <w:p w14:paraId="7713578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若单位净持仓盈利</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以上的投机持仓数量大于或等于申报平仓数量</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则根据申报平仓数量与单位净持仓盈利</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以上的投机持仓数量的比例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将申报平仓数量向单位净持仓盈利</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以上的投机持仓分配实际平仓数量</w:t>
      </w:r>
      <w:r w:rsidRPr="00726163">
        <w:rPr>
          <w:rFonts w:ascii="Times New Roman" w:eastAsia="仿宋_GB2312" w:hAnsi="Times New Roman"/>
          <w:color w:val="333333"/>
          <w:kern w:val="0"/>
          <w:sz w:val="32"/>
          <w:szCs w:val="32"/>
        </w:rPr>
        <w:t>;</w:t>
      </w:r>
    </w:p>
    <w:p w14:paraId="3C11C26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若单位净持仓盈利</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以上的投机持仓数量小于申报平仓数量</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则根据单位净持仓盈利</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以上的投机持仓数量与申报平仓数量的比例，将单位净持仓盈利</w:t>
      </w:r>
      <w:r w:rsidRPr="00726163">
        <w:rPr>
          <w:rFonts w:ascii="Times New Roman" w:eastAsia="仿宋_GB2312" w:hAnsi="Times New Roman"/>
          <w:color w:val="333333"/>
          <w:kern w:val="0"/>
          <w:sz w:val="32"/>
          <w:szCs w:val="32"/>
        </w:rPr>
        <w:t>6%</w:t>
      </w:r>
      <w:r w:rsidRPr="00726163">
        <w:rPr>
          <w:rFonts w:ascii="Times New Roman" w:eastAsia="仿宋_GB2312" w:hAnsi="Times New Roman"/>
          <w:color w:val="333333"/>
          <w:kern w:val="0"/>
          <w:sz w:val="32"/>
          <w:szCs w:val="32"/>
        </w:rPr>
        <w:t>以上的投机持仓数量向申报平仓客户分配实际平仓数量。再把剩余的申报平仓数量按上述的分配方法向单位净持仓盈利</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以上的投机持仓分配</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若还有剩余</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则再向单位净持仓盈利大于零的投机持仓分配</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若还有剩余</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则再向单位净持仓盈利</w:t>
      </w:r>
      <w:r w:rsidRPr="00726163">
        <w:rPr>
          <w:rFonts w:ascii="Times New Roman" w:eastAsia="仿宋_GB2312" w:hAnsi="Times New Roman"/>
          <w:color w:val="333333"/>
          <w:kern w:val="0"/>
          <w:sz w:val="32"/>
          <w:szCs w:val="32"/>
        </w:rPr>
        <w:t>7%</w:t>
      </w:r>
      <w:r w:rsidRPr="00726163">
        <w:rPr>
          <w:rFonts w:ascii="Times New Roman" w:eastAsia="仿宋_GB2312" w:hAnsi="Times New Roman"/>
          <w:color w:val="333333"/>
          <w:kern w:val="0"/>
          <w:sz w:val="32"/>
          <w:szCs w:val="32"/>
        </w:rPr>
        <w:t>的保值持仓分配。若还有剩余则不再分配。</w:t>
      </w:r>
    </w:p>
    <w:p w14:paraId="105B42F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分配平仓数量以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手</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为单位</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不足一手的按如下方法计算：首先对每个交易编码所分配到的平仓数量的整数部分进行分配，然后按小数部分由大到小的顺序</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进位取整</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进行分配。</w:t>
      </w:r>
    </w:p>
    <w:p w14:paraId="18256A0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（五）强制减仓的执行</w:t>
      </w:r>
    </w:p>
    <w:p w14:paraId="6E6270E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强制减仓于第</w:t>
      </w:r>
      <w:r w:rsidRPr="00726163">
        <w:rPr>
          <w:rFonts w:ascii="Times New Roman" w:eastAsia="仿宋_GB2312" w:hAnsi="Times New Roman"/>
          <w:color w:val="333333"/>
          <w:kern w:val="0"/>
          <w:sz w:val="32"/>
          <w:szCs w:val="32"/>
        </w:rPr>
        <w:t>N +2</w:t>
      </w:r>
      <w:r w:rsidRPr="00726163">
        <w:rPr>
          <w:rFonts w:ascii="Times New Roman" w:eastAsia="仿宋_GB2312" w:hAnsi="Times New Roman"/>
          <w:color w:val="333333"/>
          <w:kern w:val="0"/>
          <w:sz w:val="32"/>
          <w:szCs w:val="32"/>
        </w:rPr>
        <w:t>个交易日收市后由交易系统按强制减仓原则自动执行，强制减仓结果作为第</w:t>
      </w:r>
      <w:r w:rsidRPr="00726163">
        <w:rPr>
          <w:rFonts w:ascii="Times New Roman" w:eastAsia="仿宋_GB2312" w:hAnsi="Times New Roman"/>
          <w:color w:val="333333"/>
          <w:kern w:val="0"/>
          <w:sz w:val="32"/>
          <w:szCs w:val="32"/>
        </w:rPr>
        <w:t>N +2</w:t>
      </w:r>
      <w:r w:rsidRPr="00726163">
        <w:rPr>
          <w:rFonts w:ascii="Times New Roman" w:eastAsia="仿宋_GB2312" w:hAnsi="Times New Roman"/>
          <w:color w:val="333333"/>
          <w:kern w:val="0"/>
          <w:sz w:val="32"/>
          <w:szCs w:val="32"/>
        </w:rPr>
        <w:t>个交易日会员的交易结果。</w:t>
      </w:r>
    </w:p>
    <w:p w14:paraId="519140C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（六）强制减仓的价格</w:t>
      </w:r>
    </w:p>
    <w:p w14:paraId="4C6DFDD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强制减仓的价格为该合约第</w:t>
      </w:r>
      <w:r w:rsidRPr="00726163">
        <w:rPr>
          <w:rFonts w:ascii="Times New Roman" w:eastAsia="仿宋_GB2312" w:hAnsi="Times New Roman"/>
          <w:color w:val="333333"/>
          <w:kern w:val="0"/>
          <w:sz w:val="32"/>
          <w:szCs w:val="32"/>
        </w:rPr>
        <w:t>N +2</w:t>
      </w:r>
      <w:r w:rsidRPr="00726163">
        <w:rPr>
          <w:rFonts w:ascii="Times New Roman" w:eastAsia="仿宋_GB2312" w:hAnsi="Times New Roman"/>
          <w:color w:val="333333"/>
          <w:kern w:val="0"/>
          <w:sz w:val="32"/>
          <w:szCs w:val="32"/>
        </w:rPr>
        <w:t>个交易日的涨</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跌</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停板价。</w:t>
      </w:r>
    </w:p>
    <w:p w14:paraId="32B0C14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（七）由上述减仓造成的经济损失由会员、境外经纪机构及客户承担。</w:t>
      </w:r>
    </w:p>
    <w:p w14:paraId="41F3B14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该合约在采取上述措施后若风险仍未释放，则交易所宣布为异常情况，并按有关规定采取风险控制措施。</w:t>
      </w:r>
    </w:p>
    <w:p w14:paraId="3CE42378" w14:textId="77777777" w:rsidR="00726163" w:rsidRPr="00167BE1" w:rsidRDefault="00726163" w:rsidP="003E3461">
      <w:pPr>
        <w:shd w:val="clear" w:color="auto" w:fill="FFFFFF"/>
        <w:jc w:val="center"/>
        <w:rPr>
          <w:rFonts w:ascii="黑体" w:eastAsia="黑体" w:hAnsi="黑体"/>
          <w:color w:val="333333"/>
          <w:kern w:val="0"/>
          <w:sz w:val="32"/>
          <w:szCs w:val="32"/>
        </w:rPr>
      </w:pPr>
      <w:r w:rsidRPr="00167BE1">
        <w:rPr>
          <w:rFonts w:ascii="黑体" w:eastAsia="黑体" w:hAnsi="黑体"/>
          <w:color w:val="333333"/>
          <w:kern w:val="0"/>
          <w:sz w:val="32"/>
          <w:szCs w:val="32"/>
        </w:rPr>
        <w:t>第四章 限仓制度</w:t>
      </w:r>
    </w:p>
    <w:p w14:paraId="17317B0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交易所实行限仓制度。限仓是指交易所规定会员或客户可以持有的，按单边计算的某一合约投机头寸的最大数额。具有实际控制关系的客户和非期货公司会员的持仓合并计算。</w:t>
      </w:r>
    </w:p>
    <w:p w14:paraId="604A6DF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限仓实行以下基本制度：</w:t>
      </w:r>
    </w:p>
    <w:p w14:paraId="226ACC6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（一）根据不同期货品种的具体情况，分别确定每一品种每一月份期货合约的限仓数额；</w:t>
      </w:r>
    </w:p>
    <w:p w14:paraId="763002B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（二）某一月份期货合约在其交易过程中的不同阶段，分别适用不同的限仓数额，进入交割月份的期货合约限仓数额从严控制；</w:t>
      </w:r>
    </w:p>
    <w:p w14:paraId="2AE570B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（三）套期保值、套利持仓根据《大连商品交易所套期保值管理办法》、《大连商品交易所套利交易管理办法》等有关规定进行管理。</w:t>
      </w:r>
    </w:p>
    <w:p w14:paraId="3F21D98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同一客户在不同期货公司会员处开有多个交易编码，各交易编码上所有持仓头寸的合计数，不得超出一个客户的限仓数额。</w:t>
      </w:r>
    </w:p>
    <w:p w14:paraId="10A3AB2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非期货公司会员和客户采取不同的限仓要求：</w:t>
      </w:r>
    </w:p>
    <w:p w14:paraId="71E8A73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鸡蛋、乙二醇以外品种期货合约上市交易的一般月份（合约上市至交割月份前一个月第十四个交易日）期间，当该合约的单边持仓量达到一定规模起，非期货公司会员和客户按单边持仓量的一定比例确定限仓数额；在该合约的单边持仓量达到该规模前，非期货公司会员和客户该合约限仓数额以绝对量方式规定。在期货合约进入交割月份前一个月第十五个交易日至交割月期间，非期货公司会员和客户限仓数额以绝对量方式规定。鸡蛋品种非期货公司会员和客户的限仓数额以绝对量方式规定。乙二醇品种非期货公司会员和客户的限仓数额，在合约上市至交割月前一个月最后一个交易日期间根据合约的单边持仓量规定；交割月期间以绝对量方式规定。</w:t>
      </w:r>
    </w:p>
    <w:p w14:paraId="0564CD5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第二十九条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除鸡蛋、乙二醇品种外，各品种期货合约一般月份（合约上市至交割月份前一个月第十四个交易日）非期货公司会员和客户持仓限额见下表：（单位：手）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32"/>
        <w:gridCol w:w="2288"/>
        <w:gridCol w:w="1905"/>
        <w:gridCol w:w="1765"/>
      </w:tblGrid>
      <w:tr w:rsidR="00726163" w:rsidRPr="00726163" w14:paraId="4F652BA1" w14:textId="77777777" w:rsidTr="002922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2657F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08DAD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合约单边持仓规模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C07AF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94DA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客户</w:t>
            </w:r>
          </w:p>
        </w:tc>
      </w:tr>
      <w:tr w:rsidR="00726163" w:rsidRPr="00726163" w14:paraId="29E5A5B5"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47942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黄大豆</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BA61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0697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0A1C2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r>
      <w:tr w:rsidR="00726163" w:rsidRPr="00726163" w14:paraId="598BA2CF"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12DF6D"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124E2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4D548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AFE25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343F1E0F"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CF1D2A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B9A1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2AE5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6CE2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r>
      <w:tr w:rsidR="00726163" w:rsidRPr="00726163" w14:paraId="60DB3330"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70FD43"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0EF0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CF750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C8727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24DB6514"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47A60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豆粕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BA5D5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B04C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2448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40,000</w:t>
            </w:r>
          </w:p>
        </w:tc>
      </w:tr>
      <w:tr w:rsidR="00726163" w:rsidRPr="00726163" w14:paraId="1BE2C6DB"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C1840A"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F329F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9D69E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5A5B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777C197F"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F3789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65A85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F91FD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7B1C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40,000</w:t>
            </w:r>
          </w:p>
        </w:tc>
      </w:tr>
      <w:tr w:rsidR="00726163" w:rsidRPr="00726163" w14:paraId="1EA2835D"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EB2727"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9F37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EC0A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2848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6F384252"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B963E4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E1270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3189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2A1D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r>
      <w:tr w:rsidR="00726163" w:rsidRPr="00726163" w14:paraId="478EB123"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5535FA"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04B12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0C1BB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9169A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73613DB3"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2E6F8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79190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322D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BD25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10,000</w:t>
            </w:r>
          </w:p>
        </w:tc>
      </w:tr>
      <w:tr w:rsidR="00726163" w:rsidRPr="00726163" w14:paraId="31703056"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890405"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C27B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D0AC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D31F9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054529A7"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FB217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3FC45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5C565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7F59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10,000</w:t>
            </w:r>
          </w:p>
        </w:tc>
      </w:tr>
      <w:tr w:rsidR="00726163" w:rsidRPr="00726163" w14:paraId="533AB9B2"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5BA669"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BF39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BF15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B5A2F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64946AE1"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EF2D03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297D4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8F83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66E5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r>
      <w:tr w:rsidR="00726163" w:rsidRPr="00726163" w14:paraId="3AC144F2"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D52111"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24F2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3A46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46A1F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46B08984"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37ED02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54D8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B0AB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56881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r>
      <w:tr w:rsidR="00726163" w:rsidRPr="00726163" w14:paraId="2B9891EF"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9863A4"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3390D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48C1D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41AD0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527A81D4"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2338D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97B9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16E24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F3FE9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8,000</w:t>
            </w:r>
          </w:p>
        </w:tc>
      </w:tr>
      <w:tr w:rsidR="00726163" w:rsidRPr="00726163" w14:paraId="4259CB4A"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D38AD7"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82385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934F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31676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644C95B1"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9D8B80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铁矿石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192F8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103F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2F8B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40,000</w:t>
            </w:r>
          </w:p>
        </w:tc>
      </w:tr>
      <w:tr w:rsidR="00726163" w:rsidRPr="00726163" w14:paraId="3A42A2C7"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1781E3"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ED27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CA90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2E035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39EBEE43"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96B906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8F7D5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≤300,000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71AE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5F527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30,000</w:t>
            </w:r>
          </w:p>
        </w:tc>
      </w:tr>
      <w:tr w:rsidR="00726163" w:rsidRPr="00726163" w14:paraId="09234AC7"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2045F3"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84B4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300,000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DA28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057C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788B61F4"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9F868A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D440B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≤60,000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C26E3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0BECE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6,000</w:t>
            </w:r>
          </w:p>
        </w:tc>
      </w:tr>
      <w:tr w:rsidR="00726163" w:rsidRPr="00726163" w14:paraId="05232DFB"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39D544"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73C7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60,000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98566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36D8A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3B91F5CE"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1A7B47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C2777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D17D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7B11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r>
      <w:tr w:rsidR="00726163" w:rsidRPr="00726163" w14:paraId="4F5E88A7"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8FC4FD"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4FFF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D843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5529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775F51EF"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8AD5D0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7117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5CAF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090DB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15,000</w:t>
            </w:r>
          </w:p>
        </w:tc>
      </w:tr>
      <w:tr w:rsidR="00726163" w:rsidRPr="00726163" w14:paraId="5A0BEDFC"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D729CC"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B473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979CC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5BCE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08602A77"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B5CC1F"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646E8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0B311"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126958"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20,000</w:t>
            </w:r>
          </w:p>
        </w:tc>
      </w:tr>
      <w:tr w:rsidR="00726163" w:rsidRPr="00726163" w14:paraId="27948FF6"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49D45F"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522B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2B1F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A1E32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45DA7D61"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96391B5"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D98F3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80F3D"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D8454"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12,000</w:t>
            </w:r>
          </w:p>
        </w:tc>
      </w:tr>
      <w:tr w:rsidR="00726163" w:rsidRPr="00726163" w14:paraId="3726B33E"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08DD9C"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2A8EA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B056F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06278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r w:rsidR="00726163" w:rsidRPr="00726163" w14:paraId="44B13095" w14:textId="77777777" w:rsidTr="00292285">
        <w:trPr>
          <w:tblCellSpacing w:w="0" w:type="dxa"/>
        </w:trPr>
        <w:tc>
          <w:tcPr>
            <w:tcW w:w="0" w:type="auto"/>
            <w:vMerge w:val="restart"/>
            <w:tcBorders>
              <w:top w:val="outset" w:sz="6" w:space="0" w:color="auto"/>
              <w:left w:val="outset" w:sz="6" w:space="0" w:color="auto"/>
              <w:right w:val="outset" w:sz="6" w:space="0" w:color="auto"/>
            </w:tcBorders>
            <w:shd w:val="clear" w:color="auto" w:fill="FFFFFF"/>
            <w:vAlign w:val="center"/>
          </w:tcPr>
          <w:p w14:paraId="62B725AB"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72CEA4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124D23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CA0ED0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8,000</w:t>
            </w:r>
          </w:p>
        </w:tc>
      </w:tr>
      <w:tr w:rsidR="00726163" w:rsidRPr="00726163" w14:paraId="192E6B27" w14:textId="77777777" w:rsidTr="00292285">
        <w:trPr>
          <w:tblCellSpacing w:w="0" w:type="dxa"/>
        </w:trPr>
        <w:tc>
          <w:tcPr>
            <w:tcW w:w="0" w:type="auto"/>
            <w:vMerge/>
            <w:tcBorders>
              <w:left w:val="outset" w:sz="6" w:space="0" w:color="auto"/>
              <w:bottom w:val="outset" w:sz="6" w:space="0" w:color="auto"/>
              <w:right w:val="outset" w:sz="6" w:space="0" w:color="auto"/>
            </w:tcBorders>
            <w:shd w:val="clear" w:color="auto" w:fill="FFFFFF"/>
            <w:vAlign w:val="center"/>
          </w:tcPr>
          <w:p w14:paraId="5CA194D3"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D7548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8D335E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C8D8B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单边持仓</w:t>
            </w:r>
            <w:r w:rsidRPr="00726163">
              <w:rPr>
                <w:rFonts w:ascii="Times New Roman" w:eastAsia="仿宋_GB2312" w:hAnsi="Times New Roman"/>
                <w:color w:val="333333"/>
                <w:kern w:val="0"/>
                <w:sz w:val="32"/>
                <w:szCs w:val="32"/>
              </w:rPr>
              <w:t>×10%</w:t>
            </w:r>
          </w:p>
        </w:tc>
      </w:tr>
    </w:tbl>
    <w:p w14:paraId="24D17104"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除鸡蛋、乙二醇品种外，各品种期货合约自交割月份前一个月第十五个交易日至交割月期间非期货公司会员和客户持仓限额见下表，交割月份个人客户持仓限额为</w:t>
      </w:r>
      <w:r w:rsidRPr="00726163">
        <w:rPr>
          <w:rFonts w:ascii="Times New Roman" w:eastAsia="仿宋_GB2312" w:hAnsi="Times New Roman"/>
          <w:color w:val="333333"/>
          <w:kern w:val="0"/>
          <w:sz w:val="32"/>
          <w:szCs w:val="32"/>
        </w:rPr>
        <w:t>0</w:t>
      </w:r>
      <w:r w:rsidRPr="00726163">
        <w:rPr>
          <w:rFonts w:ascii="Times New Roman" w:eastAsia="仿宋_GB2312" w:hAnsi="Times New Roman"/>
          <w:color w:val="333333"/>
          <w:kern w:val="0"/>
          <w:sz w:val="32"/>
          <w:szCs w:val="32"/>
        </w:rPr>
        <w:t>：（单位：手）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4"/>
        <w:gridCol w:w="3308"/>
        <w:gridCol w:w="1808"/>
        <w:gridCol w:w="910"/>
      </w:tblGrid>
      <w:tr w:rsidR="00726163" w:rsidRPr="00726163" w14:paraId="28A712CF" w14:textId="77777777" w:rsidTr="0029228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E962A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9422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EADA0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C44C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客户</w:t>
            </w:r>
          </w:p>
        </w:tc>
      </w:tr>
      <w:tr w:rsidR="00726163" w:rsidRPr="00726163" w14:paraId="07C7351D"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894F7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黄大豆</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BB426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EF5B0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8343A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r>
      <w:tr w:rsidR="00726163" w:rsidRPr="00726163" w14:paraId="0F495A86"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4D4C0B"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6ADF7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0ADAA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3106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2,500</w:t>
            </w:r>
          </w:p>
        </w:tc>
      </w:tr>
      <w:tr w:rsidR="00726163" w:rsidRPr="00726163" w14:paraId="735E729D"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227A0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黄大豆</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AF627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612A7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83DF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4,500</w:t>
            </w:r>
          </w:p>
        </w:tc>
      </w:tr>
      <w:tr w:rsidR="00726163" w:rsidRPr="00726163" w14:paraId="117C2142"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5FE63A"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FF5D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5730D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F98BF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w:t>
            </w:r>
          </w:p>
        </w:tc>
      </w:tr>
      <w:tr w:rsidR="00726163" w:rsidRPr="00726163" w14:paraId="025BED94"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214AB3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豆粕</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F9D07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C07EB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9FF8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7,500</w:t>
            </w:r>
          </w:p>
        </w:tc>
      </w:tr>
      <w:tr w:rsidR="00726163" w:rsidRPr="00726163" w14:paraId="29BF7E47"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B607F5"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BF68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D968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555C3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2,500</w:t>
            </w:r>
          </w:p>
        </w:tc>
      </w:tr>
      <w:tr w:rsidR="00726163" w:rsidRPr="00726163" w14:paraId="25A3DF58"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25C2A8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D87AD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DAFB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A29D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3,000</w:t>
            </w:r>
          </w:p>
        </w:tc>
      </w:tr>
      <w:tr w:rsidR="00726163" w:rsidRPr="00726163" w14:paraId="5428F784"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BBFC53"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CBCF5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DD6E7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3470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r>
      <w:tr w:rsidR="00726163" w:rsidRPr="00726163" w14:paraId="51CCC529"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AC553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4E567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58804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EFF1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w:t>
            </w:r>
          </w:p>
        </w:tc>
      </w:tr>
      <w:tr w:rsidR="00726163" w:rsidRPr="00726163" w14:paraId="42E32E85"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B48B8A"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9F83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4099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415EE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w:t>
            </w:r>
          </w:p>
        </w:tc>
      </w:tr>
      <w:tr w:rsidR="00726163" w:rsidRPr="00726163" w14:paraId="149F68DA"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7C734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FC8F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D282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984F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15,000</w:t>
            </w:r>
          </w:p>
        </w:tc>
      </w:tr>
      <w:tr w:rsidR="00726163" w:rsidRPr="00726163" w14:paraId="1808DD46"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863A9A"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303C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3ECD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11B2E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r>
      <w:tr w:rsidR="00726163" w:rsidRPr="00726163" w14:paraId="095BCD1F"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71D975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4382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2A1B1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5CFCD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3,000</w:t>
            </w:r>
          </w:p>
        </w:tc>
      </w:tr>
      <w:tr w:rsidR="00726163" w:rsidRPr="00726163" w14:paraId="274981CC"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D8E705"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36C9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A3C3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B4F5E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r>
      <w:tr w:rsidR="00726163" w:rsidRPr="00726163" w14:paraId="1F3ACD0E"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05266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F3F9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68B1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212D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r>
      <w:tr w:rsidR="00726163" w:rsidRPr="00726163" w14:paraId="25EC1E71"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D9560C"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C6DA8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BA7AE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09040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2,500</w:t>
            </w:r>
          </w:p>
        </w:tc>
      </w:tr>
      <w:tr w:rsidR="00726163" w:rsidRPr="00726163" w14:paraId="0ADCEE7A"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E589AB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34F54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B2ED6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495F6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900</w:t>
            </w:r>
          </w:p>
        </w:tc>
      </w:tr>
      <w:tr w:rsidR="00726163" w:rsidRPr="00726163" w14:paraId="3A0B3153"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B56774"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4EC2A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D6D2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0989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300</w:t>
            </w:r>
          </w:p>
        </w:tc>
      </w:tr>
      <w:tr w:rsidR="00726163" w:rsidRPr="00726163" w14:paraId="0E8FCBAF"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700DC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D4FD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D3FC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3959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w:t>
            </w:r>
          </w:p>
        </w:tc>
      </w:tr>
      <w:tr w:rsidR="00726163" w:rsidRPr="00726163" w14:paraId="734F2039"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85A0A9"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1540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B25CB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9B210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w:t>
            </w:r>
          </w:p>
        </w:tc>
      </w:tr>
      <w:tr w:rsidR="00726163" w:rsidRPr="00726163" w14:paraId="294B8E13"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940F5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铁矿石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1D2DF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9EAE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6399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6,000</w:t>
            </w:r>
          </w:p>
        </w:tc>
      </w:tr>
      <w:tr w:rsidR="00726163" w:rsidRPr="00726163" w14:paraId="2345179A"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96484A"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0337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A374B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C1361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w:t>
            </w:r>
          </w:p>
        </w:tc>
      </w:tr>
      <w:tr w:rsidR="00726163" w:rsidRPr="00726163" w14:paraId="6233DE98"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A7437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D401E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58B97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CF7121"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800</w:t>
            </w:r>
          </w:p>
        </w:tc>
      </w:tr>
      <w:tr w:rsidR="00726163" w:rsidRPr="00726163" w14:paraId="31FE54D9"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EF64BA"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828E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6378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C26E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w:t>
            </w:r>
          </w:p>
        </w:tc>
      </w:tr>
      <w:tr w:rsidR="00726163" w:rsidRPr="00726163" w14:paraId="0529951D"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09E14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13149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0AA5F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8F151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80</w:t>
            </w:r>
          </w:p>
        </w:tc>
      </w:tr>
      <w:tr w:rsidR="00726163" w:rsidRPr="00726163" w14:paraId="639BF5A0"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4A2705"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C7A81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8903F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A647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w:t>
            </w:r>
          </w:p>
        </w:tc>
      </w:tr>
      <w:tr w:rsidR="00726163" w:rsidRPr="00726163" w14:paraId="7E079AFF"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12AEC4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6D12F"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3C1E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B1AB5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5,000</w:t>
            </w:r>
          </w:p>
        </w:tc>
      </w:tr>
      <w:tr w:rsidR="00726163" w:rsidRPr="00726163" w14:paraId="1F05AE77"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D219C8"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33CBE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22F46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6DAD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2,500</w:t>
            </w:r>
          </w:p>
        </w:tc>
      </w:tr>
      <w:tr w:rsidR="00726163" w:rsidRPr="00726163" w14:paraId="1B9F2DB2"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02CE9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BC5C0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229AC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99C81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4,500</w:t>
            </w:r>
          </w:p>
        </w:tc>
      </w:tr>
      <w:tr w:rsidR="00726163" w:rsidRPr="00726163" w14:paraId="67DE1735"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A8D6D0"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5B88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54AD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D50999"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1,500</w:t>
            </w:r>
          </w:p>
        </w:tc>
      </w:tr>
      <w:tr w:rsidR="00726163" w:rsidRPr="00726163" w14:paraId="2DFA6798"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E2D4A48"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799E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28F6E8"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50C01"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w:t>
            </w:r>
          </w:p>
        </w:tc>
      </w:tr>
      <w:tr w:rsidR="00726163" w:rsidRPr="00726163" w14:paraId="142FA4D1"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64F4E7"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4351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54783"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D5411C"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r>
      <w:tr w:rsidR="00726163" w:rsidRPr="00726163" w14:paraId="5DB77651" w14:textId="77777777" w:rsidTr="0029228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D2B102"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DD4D5A"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D554F"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E797D"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2,000</w:t>
            </w:r>
          </w:p>
        </w:tc>
      </w:tr>
      <w:tr w:rsidR="00726163" w:rsidRPr="00726163" w14:paraId="670C6D24" w14:textId="77777777" w:rsidTr="0029228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42ED52"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97523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998EB"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AC24CD"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r>
      <w:tr w:rsidR="00726163" w:rsidRPr="00726163" w14:paraId="1867327B" w14:textId="77777777" w:rsidTr="00292285">
        <w:trPr>
          <w:tblCellSpacing w:w="0" w:type="dxa"/>
        </w:trPr>
        <w:tc>
          <w:tcPr>
            <w:tcW w:w="0" w:type="auto"/>
            <w:vMerge w:val="restart"/>
            <w:tcBorders>
              <w:top w:val="outset" w:sz="6" w:space="0" w:color="auto"/>
              <w:left w:val="outset" w:sz="6" w:space="0" w:color="auto"/>
              <w:right w:val="outset" w:sz="6" w:space="0" w:color="auto"/>
            </w:tcBorders>
            <w:shd w:val="clear" w:color="auto" w:fill="FFFFFF"/>
            <w:vAlign w:val="center"/>
          </w:tcPr>
          <w:p w14:paraId="62C3DF69"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5EA29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C8FBCAA"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45A8BC"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1,000</w:t>
            </w:r>
          </w:p>
        </w:tc>
      </w:tr>
      <w:tr w:rsidR="00726163" w:rsidRPr="00726163" w14:paraId="4BAC8108" w14:textId="77777777" w:rsidTr="00292285">
        <w:trPr>
          <w:tblCellSpacing w:w="0" w:type="dxa"/>
        </w:trPr>
        <w:tc>
          <w:tcPr>
            <w:tcW w:w="0" w:type="auto"/>
            <w:vMerge/>
            <w:tcBorders>
              <w:left w:val="outset" w:sz="6" w:space="0" w:color="auto"/>
              <w:bottom w:val="outset" w:sz="6" w:space="0" w:color="auto"/>
              <w:right w:val="outset" w:sz="6" w:space="0" w:color="auto"/>
            </w:tcBorders>
            <w:shd w:val="clear" w:color="auto" w:fill="FFFFFF"/>
            <w:vAlign w:val="center"/>
          </w:tcPr>
          <w:p w14:paraId="4A0847AA" w14:textId="77777777" w:rsidR="00726163" w:rsidRPr="00726163" w:rsidRDefault="00726163" w:rsidP="003E3461">
            <w:pPr>
              <w:rPr>
                <w:rFonts w:ascii="Times New Roman" w:eastAsia="仿宋_GB2312" w:hAnsi="Times New Roman"/>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B21A54"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A8CCA0"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FBEF43C" w14:textId="77777777" w:rsidR="00726163" w:rsidRPr="00726163" w:rsidRDefault="00726163" w:rsidP="003E3461">
            <w:pPr>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500</w:t>
            </w:r>
          </w:p>
        </w:tc>
      </w:tr>
    </w:tbl>
    <w:p w14:paraId="33DEE494"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鸡蛋期货合约非期货公司会员和客户持仓限额见下表，交割月份个人客户持仓限额为</w:t>
      </w:r>
      <w:r w:rsidRPr="00726163">
        <w:rPr>
          <w:rFonts w:ascii="Times New Roman" w:eastAsia="仿宋_GB2312" w:hAnsi="Times New Roman"/>
          <w:color w:val="333333"/>
          <w:kern w:val="0"/>
          <w:sz w:val="32"/>
          <w:szCs w:val="32"/>
        </w:rPr>
        <w:t>0</w:t>
      </w:r>
      <w:r w:rsidRPr="00726163">
        <w:rPr>
          <w:rFonts w:ascii="Times New Roman" w:eastAsia="仿宋_GB2312" w:hAnsi="Times New Roman"/>
          <w:color w:val="333333"/>
          <w:kern w:val="0"/>
          <w:sz w:val="32"/>
          <w:szCs w:val="32"/>
        </w:rPr>
        <w:t>：（单位：手）</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10"/>
        <w:gridCol w:w="2270"/>
        <w:gridCol w:w="1292"/>
      </w:tblGrid>
      <w:tr w:rsidR="00726163" w:rsidRPr="00726163" w14:paraId="5F62F02B" w14:textId="77777777" w:rsidTr="00167BE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3BEFC"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F28C6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非期货公司会员</w:t>
            </w:r>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06657"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客户</w:t>
            </w:r>
          </w:p>
        </w:tc>
      </w:tr>
      <w:tr w:rsidR="00726163" w:rsidRPr="00726163" w14:paraId="75D1FD7E" w14:textId="77777777" w:rsidTr="00167BE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4964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6413D"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1,200</w:t>
            </w:r>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A1AF62"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1,200</w:t>
            </w:r>
          </w:p>
        </w:tc>
      </w:tr>
      <w:tr w:rsidR="00726163" w:rsidRPr="00726163" w14:paraId="75B9F472" w14:textId="77777777" w:rsidTr="00167BE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F6C22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279D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w:t>
            </w:r>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88DF0"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400</w:t>
            </w:r>
          </w:p>
        </w:tc>
      </w:tr>
      <w:tr w:rsidR="00726163" w:rsidRPr="00726163" w14:paraId="6B3CB8CB" w14:textId="77777777" w:rsidTr="00167BE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E3A575"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4F7703"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120</w:t>
            </w:r>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56B28"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120</w:t>
            </w:r>
          </w:p>
        </w:tc>
      </w:tr>
      <w:tr w:rsidR="00726163" w:rsidRPr="00726163" w14:paraId="0A43A229" w14:textId="77777777" w:rsidTr="00167BE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8A26BB"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FC8576"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w:t>
            </w:r>
          </w:p>
        </w:tc>
        <w:tc>
          <w:tcPr>
            <w:tcW w:w="12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8DC2E" w14:textId="77777777" w:rsidR="00726163" w:rsidRPr="00726163" w:rsidRDefault="00726163" w:rsidP="003E3461">
            <w:pPr>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20</w:t>
            </w:r>
          </w:p>
        </w:tc>
      </w:tr>
    </w:tbl>
    <w:p w14:paraId="5FB0C361"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乙二醇期货合约非期货公司会员和客户持仓限额按如下规定，交割月份个人客户持仓限额为</w:t>
      </w:r>
      <w:r w:rsidRPr="00726163">
        <w:rPr>
          <w:rFonts w:ascii="Times New Roman" w:eastAsia="仿宋_GB2312" w:hAnsi="Times New Roman"/>
          <w:color w:val="333333"/>
          <w:kern w:val="0"/>
          <w:sz w:val="32"/>
          <w:szCs w:val="32"/>
        </w:rPr>
        <w:t>0</w:t>
      </w:r>
      <w:r w:rsidRPr="00726163">
        <w:rPr>
          <w:rFonts w:ascii="Times New Roman" w:eastAsia="仿宋_GB2312" w:hAnsi="Times New Roman"/>
          <w:color w:val="333333"/>
          <w:kern w:val="0"/>
          <w:sz w:val="32"/>
          <w:szCs w:val="32"/>
        </w:rPr>
        <w:t>：（单位：手）</w:t>
      </w:r>
    </w:p>
    <w:p w14:paraId="1B443AD4"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（一）自合约上市至交割月份前一个月第十四个交易日期间，若该合约的单边持仓量小于或等于</w:t>
      </w:r>
      <w:r w:rsidRPr="00726163">
        <w:rPr>
          <w:rFonts w:ascii="Times New Roman" w:eastAsia="仿宋_GB2312" w:hAnsi="Times New Roman"/>
          <w:color w:val="333333"/>
          <w:kern w:val="0"/>
          <w:sz w:val="32"/>
          <w:szCs w:val="32"/>
        </w:rPr>
        <w:t>80,000</w:t>
      </w:r>
      <w:r w:rsidRPr="00726163">
        <w:rPr>
          <w:rFonts w:ascii="Times New Roman" w:eastAsia="仿宋_GB2312" w:hAnsi="Times New Roman"/>
          <w:color w:val="333333"/>
          <w:kern w:val="0"/>
          <w:sz w:val="32"/>
          <w:szCs w:val="32"/>
        </w:rPr>
        <w:t>手，则持仓限额为</w:t>
      </w:r>
      <w:r w:rsidRPr="00726163">
        <w:rPr>
          <w:rFonts w:ascii="Times New Roman" w:eastAsia="仿宋_GB2312" w:hAnsi="Times New Roman"/>
          <w:color w:val="333333"/>
          <w:kern w:val="0"/>
          <w:sz w:val="32"/>
          <w:szCs w:val="32"/>
        </w:rPr>
        <w:t>8,000</w:t>
      </w:r>
      <w:r w:rsidRPr="00726163">
        <w:rPr>
          <w:rFonts w:ascii="Times New Roman" w:eastAsia="仿宋_GB2312" w:hAnsi="Times New Roman"/>
          <w:color w:val="333333"/>
          <w:kern w:val="0"/>
          <w:sz w:val="32"/>
          <w:szCs w:val="32"/>
        </w:rPr>
        <w:t>手；若该合约的单边持仓量大于</w:t>
      </w:r>
      <w:r w:rsidRPr="00726163">
        <w:rPr>
          <w:rFonts w:ascii="Times New Roman" w:eastAsia="仿宋_GB2312" w:hAnsi="Times New Roman"/>
          <w:color w:val="333333"/>
          <w:kern w:val="0"/>
          <w:sz w:val="32"/>
          <w:szCs w:val="32"/>
        </w:rPr>
        <w:t>80,000</w:t>
      </w:r>
      <w:r w:rsidRPr="00726163">
        <w:rPr>
          <w:rFonts w:ascii="Times New Roman" w:eastAsia="仿宋_GB2312" w:hAnsi="Times New Roman"/>
          <w:color w:val="333333"/>
          <w:kern w:val="0"/>
          <w:sz w:val="32"/>
          <w:szCs w:val="32"/>
        </w:rPr>
        <w:t>手，则持仓限额为单边持仓量的</w:t>
      </w:r>
      <w:r w:rsidRPr="00726163">
        <w:rPr>
          <w:rFonts w:ascii="Times New Roman" w:eastAsia="仿宋_GB2312" w:hAnsi="Times New Roman"/>
          <w:color w:val="333333"/>
          <w:kern w:val="0"/>
          <w:sz w:val="32"/>
          <w:szCs w:val="32"/>
        </w:rPr>
        <w:t>10%</w:t>
      </w:r>
      <w:r w:rsidRPr="00726163">
        <w:rPr>
          <w:rFonts w:ascii="Times New Roman" w:eastAsia="仿宋_GB2312" w:hAnsi="Times New Roman"/>
          <w:color w:val="333333"/>
          <w:kern w:val="0"/>
          <w:sz w:val="32"/>
          <w:szCs w:val="32"/>
        </w:rPr>
        <w:t>。</w:t>
      </w:r>
    </w:p>
    <w:p w14:paraId="2391A1A5"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自交割月份前一个月第一个交易日至该月第十四个交易日期间，若某日结算时该合约的单边持仓量大于</w:t>
      </w:r>
      <w:r w:rsidRPr="00726163">
        <w:rPr>
          <w:rFonts w:ascii="Times New Roman" w:eastAsia="仿宋_GB2312" w:hAnsi="Times New Roman"/>
          <w:color w:val="333333"/>
          <w:kern w:val="0"/>
          <w:sz w:val="32"/>
          <w:szCs w:val="32"/>
        </w:rPr>
        <w:t>120,000</w:t>
      </w:r>
      <w:r w:rsidRPr="00726163">
        <w:rPr>
          <w:rFonts w:ascii="Times New Roman" w:eastAsia="仿宋_GB2312" w:hAnsi="Times New Roman"/>
          <w:color w:val="333333"/>
          <w:kern w:val="0"/>
          <w:sz w:val="32"/>
          <w:szCs w:val="32"/>
        </w:rPr>
        <w:t>手，则自当日结算时起持仓限额为</w:t>
      </w:r>
      <w:r w:rsidRPr="00726163">
        <w:rPr>
          <w:rFonts w:ascii="Times New Roman" w:eastAsia="仿宋_GB2312" w:hAnsi="Times New Roman"/>
          <w:color w:val="333333"/>
          <w:kern w:val="0"/>
          <w:sz w:val="32"/>
          <w:szCs w:val="32"/>
        </w:rPr>
        <w:t>3,000</w:t>
      </w:r>
      <w:r w:rsidRPr="00726163">
        <w:rPr>
          <w:rFonts w:ascii="Times New Roman" w:eastAsia="仿宋_GB2312" w:hAnsi="Times New Roman"/>
          <w:color w:val="333333"/>
          <w:kern w:val="0"/>
          <w:sz w:val="32"/>
          <w:szCs w:val="32"/>
        </w:rPr>
        <w:t>手，并持续适用至该月第十四个交易日。</w:t>
      </w:r>
    </w:p>
    <w:p w14:paraId="24F30D7C"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（二）自交割月份前一个月第十五个交易日至该月最后一个交易日期间，持仓限额为</w:t>
      </w:r>
      <w:r w:rsidRPr="00726163">
        <w:rPr>
          <w:rFonts w:ascii="Times New Roman" w:eastAsia="仿宋_GB2312" w:hAnsi="Times New Roman"/>
          <w:color w:val="333333"/>
          <w:kern w:val="0"/>
          <w:sz w:val="32"/>
          <w:szCs w:val="32"/>
        </w:rPr>
        <w:t>3,000</w:t>
      </w:r>
      <w:r w:rsidRPr="00726163">
        <w:rPr>
          <w:rFonts w:ascii="Times New Roman" w:eastAsia="仿宋_GB2312" w:hAnsi="Times New Roman"/>
          <w:color w:val="333333"/>
          <w:kern w:val="0"/>
          <w:sz w:val="32"/>
          <w:szCs w:val="32"/>
        </w:rPr>
        <w:t>手；若某日结算时该合约的单边持仓量超过</w:t>
      </w:r>
      <w:r w:rsidRPr="00726163">
        <w:rPr>
          <w:rFonts w:ascii="Times New Roman" w:eastAsia="仿宋_GB2312" w:hAnsi="Times New Roman"/>
          <w:color w:val="333333"/>
          <w:kern w:val="0"/>
          <w:sz w:val="32"/>
          <w:szCs w:val="32"/>
        </w:rPr>
        <w:t>80,000</w:t>
      </w:r>
      <w:r w:rsidRPr="00726163">
        <w:rPr>
          <w:rFonts w:ascii="Times New Roman" w:eastAsia="仿宋_GB2312" w:hAnsi="Times New Roman"/>
          <w:color w:val="333333"/>
          <w:kern w:val="0"/>
          <w:sz w:val="32"/>
          <w:szCs w:val="32"/>
        </w:rPr>
        <w:t>手，则自当日结算时起持仓限额调整至</w:t>
      </w:r>
      <w:r w:rsidRPr="00726163">
        <w:rPr>
          <w:rFonts w:ascii="Times New Roman" w:eastAsia="仿宋_GB2312" w:hAnsi="Times New Roman"/>
          <w:color w:val="333333"/>
          <w:kern w:val="0"/>
          <w:sz w:val="32"/>
          <w:szCs w:val="32"/>
        </w:rPr>
        <w:t>1,000</w:t>
      </w:r>
      <w:r w:rsidRPr="00726163">
        <w:rPr>
          <w:rFonts w:ascii="Times New Roman" w:eastAsia="仿宋_GB2312" w:hAnsi="Times New Roman"/>
          <w:color w:val="333333"/>
          <w:kern w:val="0"/>
          <w:sz w:val="32"/>
          <w:szCs w:val="32"/>
        </w:rPr>
        <w:t>手，并持续适用至该月最后一个交易日。</w:t>
      </w:r>
    </w:p>
    <w:p w14:paraId="1B592005"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（三）交割月份持仓限额为</w:t>
      </w:r>
      <w:r w:rsidRPr="00726163">
        <w:rPr>
          <w:rFonts w:ascii="Times New Roman" w:eastAsia="仿宋_GB2312" w:hAnsi="Times New Roman"/>
          <w:color w:val="333333"/>
          <w:kern w:val="0"/>
          <w:sz w:val="32"/>
          <w:szCs w:val="32"/>
        </w:rPr>
        <w:t>1,000</w:t>
      </w:r>
      <w:r w:rsidRPr="00726163">
        <w:rPr>
          <w:rFonts w:ascii="Times New Roman" w:eastAsia="仿宋_GB2312" w:hAnsi="Times New Roman"/>
          <w:color w:val="333333"/>
          <w:kern w:val="0"/>
          <w:sz w:val="32"/>
          <w:szCs w:val="32"/>
        </w:rPr>
        <w:t>手。</w:t>
      </w:r>
    </w:p>
    <w:p w14:paraId="452E2EB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非期货公司会员或客户的持仓数量不得超过交易所规定的持仓限额，超过持仓限额的，不得同方向开仓交易。对超过持仓限额的非期货公司会员或客户，交易所将于下一交易日按有关规定执行强行平仓。</w:t>
      </w:r>
    </w:p>
    <w:p w14:paraId="17C3069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一个客户在不同期货公司会员处开有多个交易编码，其持仓量合计超出限仓数额的，由交易所指定有关期货公司会员对该客户超额持仓执行强行平仓。</w:t>
      </w:r>
    </w:p>
    <w:p w14:paraId="2FE075B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对超过持仓限额的非期货公司会员或者客户，交易所还可以采取电话提示、要求报告情况、要求提交书面承诺、列入重点监管名单、限制开仓等措施。</w:t>
      </w:r>
    </w:p>
    <w:p w14:paraId="5111DE47" w14:textId="77777777" w:rsidR="00726163" w:rsidRPr="007F5233" w:rsidRDefault="00726163" w:rsidP="003E3461">
      <w:pPr>
        <w:shd w:val="clear" w:color="auto" w:fill="FFFFFF"/>
        <w:jc w:val="center"/>
        <w:rPr>
          <w:rFonts w:ascii="黑体" w:eastAsia="黑体" w:hAnsi="黑体"/>
          <w:color w:val="333333"/>
          <w:kern w:val="0"/>
          <w:sz w:val="32"/>
          <w:szCs w:val="32"/>
        </w:rPr>
      </w:pPr>
      <w:r w:rsidRPr="007F5233">
        <w:rPr>
          <w:rFonts w:ascii="黑体" w:eastAsia="黑体" w:hAnsi="黑体"/>
          <w:color w:val="333333"/>
          <w:kern w:val="0"/>
          <w:sz w:val="32"/>
          <w:szCs w:val="32"/>
        </w:rPr>
        <w:t>第五章</w:t>
      </w:r>
      <w:r w:rsidRPr="007F5233">
        <w:rPr>
          <w:rFonts w:ascii="Calibri" w:eastAsia="黑体" w:hAnsi="Calibri" w:cs="Calibri"/>
          <w:color w:val="333333"/>
          <w:kern w:val="0"/>
          <w:sz w:val="32"/>
          <w:szCs w:val="32"/>
        </w:rPr>
        <w:t> </w:t>
      </w:r>
      <w:r w:rsidRPr="007F5233">
        <w:rPr>
          <w:rFonts w:ascii="黑体" w:eastAsia="黑体" w:hAnsi="黑体"/>
          <w:color w:val="333333"/>
          <w:kern w:val="0"/>
          <w:sz w:val="32"/>
          <w:szCs w:val="32"/>
        </w:rPr>
        <w:t xml:space="preserve"> 交易限额制度</w:t>
      </w:r>
    </w:p>
    <w:p w14:paraId="358924F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14:paraId="695C8D3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套期保值交易和做市交易的开仓数量不受本条前款限制。</w:t>
      </w:r>
    </w:p>
    <w:p w14:paraId="1EA1931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14:paraId="3795216A" w14:textId="77777777" w:rsidR="00726163" w:rsidRPr="007F5233" w:rsidRDefault="00726163" w:rsidP="003E3461">
      <w:pPr>
        <w:shd w:val="clear" w:color="auto" w:fill="FFFFFF"/>
        <w:jc w:val="center"/>
        <w:rPr>
          <w:rFonts w:ascii="黑体" w:eastAsia="黑体" w:hAnsi="黑体"/>
          <w:color w:val="333333"/>
          <w:kern w:val="0"/>
          <w:sz w:val="32"/>
          <w:szCs w:val="32"/>
        </w:rPr>
      </w:pPr>
      <w:r w:rsidRPr="007F5233">
        <w:rPr>
          <w:rFonts w:ascii="黑体" w:eastAsia="黑体" w:hAnsi="黑体"/>
          <w:color w:val="333333"/>
          <w:kern w:val="0"/>
          <w:sz w:val="32"/>
          <w:szCs w:val="32"/>
        </w:rPr>
        <w:t>第六章 大户报告制度</w:t>
      </w:r>
    </w:p>
    <w:p w14:paraId="6F2FB89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交易所实行大户报告制度。当非期货公司会员或客户某品种持仓合约的投机头寸达到交易所对其规定的投机头寸持仓限量</w:t>
      </w:r>
      <w:r w:rsidRPr="00726163">
        <w:rPr>
          <w:rFonts w:ascii="Times New Roman" w:eastAsia="仿宋_GB2312" w:hAnsi="Times New Roman"/>
          <w:color w:val="333333"/>
          <w:kern w:val="0"/>
          <w:sz w:val="32"/>
          <w:szCs w:val="32"/>
        </w:rPr>
        <w:t>80%</w:t>
      </w:r>
      <w:r w:rsidRPr="00726163">
        <w:rPr>
          <w:rFonts w:ascii="Times New Roman" w:eastAsia="仿宋_GB2312" w:hAnsi="Times New Roman"/>
          <w:color w:val="333333"/>
          <w:kern w:val="0"/>
          <w:sz w:val="32"/>
          <w:szCs w:val="32"/>
        </w:rPr>
        <w:t>以上（含本数）时</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非期货公司会员或客户应向交易所报告其资金情况、头寸情况，客户须通过期货公司会员报告；委托境外经纪机构从事期货交易的客户，应当委托其境外经纪机构报告，境外经纪机构再委托期货公司会员报告。</w:t>
      </w:r>
    </w:p>
    <w:p w14:paraId="14C99E4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非期货公司会员、客户应当保证所提供的大户持仓报告和其他材料的真实性、准确性和完整性。</w:t>
      </w:r>
    </w:p>
    <w:p w14:paraId="15CAA5D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交易所可根据市场风险状况，调整改变持仓报告水平。</w:t>
      </w:r>
    </w:p>
    <w:p w14:paraId="1A49405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非期货公司会员或客户的持仓达到交易所报告界限的，非期货公司会员或客户应主动于下一交易日</w:t>
      </w:r>
      <w:r w:rsidRPr="00726163">
        <w:rPr>
          <w:rFonts w:ascii="Times New Roman" w:eastAsia="仿宋_GB2312" w:hAnsi="Times New Roman"/>
          <w:color w:val="333333"/>
          <w:kern w:val="0"/>
          <w:sz w:val="32"/>
          <w:szCs w:val="32"/>
        </w:rPr>
        <w:t>15:00</w:t>
      </w:r>
      <w:r w:rsidRPr="00726163">
        <w:rPr>
          <w:rFonts w:ascii="Times New Roman" w:eastAsia="仿宋_GB2312" w:hAnsi="Times New Roman"/>
          <w:color w:val="333333"/>
          <w:kern w:val="0"/>
          <w:sz w:val="32"/>
          <w:szCs w:val="32"/>
        </w:rPr>
        <w:t>时前向交易所报告。如需再次报告或补充报告，交易所将通知有关会员。</w:t>
      </w:r>
    </w:p>
    <w:p w14:paraId="073505A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达到交易所报告界限的非期货公司会员应向交易所提供下列材料：</w:t>
      </w:r>
    </w:p>
    <w:p w14:paraId="18274B5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（一）填写完整的《非期货公司会员大户报告表》（见附件</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），内容包括会员名称、会员号、合约代码、现有持仓、持仓性质、持仓保证金、可动用资金、持仓意向、预报交割数量、申请交割数量；</w:t>
      </w:r>
    </w:p>
    <w:p w14:paraId="3681F06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（二）资金来源说明；</w:t>
      </w:r>
    </w:p>
    <w:p w14:paraId="31F0177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（三）交易所要求提供的其他材料。</w:t>
      </w:r>
    </w:p>
    <w:p w14:paraId="62C1736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达到交易所报告界限的客户应提供下列材料：</w:t>
      </w:r>
    </w:p>
    <w:p w14:paraId="3275B06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（一）填写完整的《客户大户报告表》（见附件</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），内容包括会员名称、会员号、客户名称和编码、合约代码、现有持仓、持仓性质、持仓保证金、可动用资金、持仓意向、预报交割数量、申请交割数量等；</w:t>
      </w:r>
    </w:p>
    <w:p w14:paraId="67FC514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（二）资金来源说明；</w:t>
      </w:r>
    </w:p>
    <w:p w14:paraId="55C6FB0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（三）开户材料及当日结算单据；</w:t>
      </w:r>
    </w:p>
    <w:p w14:paraId="4D999E3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（四）交易所要求提供的其他材料。</w:t>
      </w:r>
    </w:p>
    <w:p w14:paraId="1956F62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期货公司会员、境外经纪机构应对达到交易所报告界限的客户所提供的有关材料进行初审，然后由期货公司会员转交交易所。期货公司会员、境外经纪机构应保证客户所提供的材料的真实性和准确性。</w:t>
      </w:r>
    </w:p>
    <w:p w14:paraId="382CFD2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交易所将不定期地对会员、境外经纪机构或客户提供的材料进行核查。</w:t>
      </w:r>
    </w:p>
    <w:p w14:paraId="30F948C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第三十九条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客户在不同期货公司会员处开有多个交易编码，各交易编码持有头寸合计达到报告界限，由交易所指定并通知有关期货公司会员，负责报送该客户应报告情况的有关材料。</w:t>
      </w:r>
    </w:p>
    <w:p w14:paraId="6669617D" w14:textId="77777777" w:rsidR="00726163" w:rsidRPr="007F5233" w:rsidRDefault="00726163" w:rsidP="003E3461">
      <w:pPr>
        <w:shd w:val="clear" w:color="auto" w:fill="FFFFFF"/>
        <w:jc w:val="center"/>
        <w:rPr>
          <w:rFonts w:ascii="黑体" w:eastAsia="黑体" w:hAnsi="黑体"/>
          <w:color w:val="333333"/>
          <w:kern w:val="0"/>
          <w:sz w:val="32"/>
          <w:szCs w:val="32"/>
        </w:rPr>
      </w:pPr>
      <w:r w:rsidRPr="007F5233">
        <w:rPr>
          <w:rFonts w:ascii="黑体" w:eastAsia="黑体" w:hAnsi="黑体"/>
          <w:color w:val="333333"/>
          <w:kern w:val="0"/>
          <w:sz w:val="32"/>
          <w:szCs w:val="32"/>
        </w:rPr>
        <w:t>第七章 强行平仓制度</w:t>
      </w:r>
    </w:p>
    <w:p w14:paraId="73CDF3E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为控制市场风险，交易所实行强行平仓制度。强行平仓是指当会员、客户违规时，交易所对有关持仓实行平仓的一种强制措施。</w:t>
      </w:r>
    </w:p>
    <w:p w14:paraId="3F1258D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当会员、客户出现下列情形之一时，交易所有权对其持仓进行强行平仓：</w:t>
      </w:r>
    </w:p>
    <w:p w14:paraId="3DE79A1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（一）会员结算准备金余额小于零，并未能在规定时限内补足的；</w:t>
      </w:r>
    </w:p>
    <w:p w14:paraId="790FE1C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（二）非期货公司会员和客户持仓量超出其限仓规定的；</w:t>
      </w:r>
    </w:p>
    <w:p w14:paraId="7154DB8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（三）因违规受到交易所强行平仓处罚的；</w:t>
      </w:r>
    </w:p>
    <w:p w14:paraId="5F76438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（四）根据交易所的紧急措施应予强行平仓的；</w:t>
      </w:r>
    </w:p>
    <w:p w14:paraId="57094D2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（五）其他应予强行平仓的。</w:t>
      </w:r>
    </w:p>
    <w:p w14:paraId="1AE203C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强行平仓的执行原则：</w:t>
      </w:r>
    </w:p>
    <w:p w14:paraId="6BB8842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强行平仓先由会员自己执行，除交易所特别规定外，对开设夜盘交易的品种，其时限为夜盘交易小节、第一节和第二节交易时间内；对未开设夜盘交易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14:paraId="20B273E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属第四十一条第（三）、（四）、（五）项的强行平仓，其强行平仓时间由交易所另行通知。</w:t>
      </w:r>
    </w:p>
    <w:p w14:paraId="7914631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（一）由会员单位执行的强行平仓头寸的确定</w:t>
      </w:r>
    </w:p>
    <w:p w14:paraId="1E29655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1. </w:t>
      </w:r>
      <w:r w:rsidRPr="00726163">
        <w:rPr>
          <w:rFonts w:ascii="Times New Roman" w:eastAsia="仿宋_GB2312" w:hAnsi="Times New Roman"/>
          <w:color w:val="333333"/>
          <w:kern w:val="0"/>
          <w:sz w:val="32"/>
          <w:szCs w:val="32"/>
        </w:rPr>
        <w:t>属第四十一条第（一）、（二）项的强行平仓，其需强行平仓头寸由会员单位自行确定，只要强行平仓结果符合交易所规则即可。</w:t>
      </w:r>
    </w:p>
    <w:p w14:paraId="352145E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2. </w:t>
      </w:r>
      <w:r w:rsidRPr="00726163">
        <w:rPr>
          <w:rFonts w:ascii="Times New Roman" w:eastAsia="仿宋_GB2312" w:hAnsi="Times New Roman"/>
          <w:color w:val="333333"/>
          <w:kern w:val="0"/>
          <w:sz w:val="32"/>
          <w:szCs w:val="32"/>
        </w:rPr>
        <w:t>属第四十一条第（三）、（四）、（五）项的强行平仓，其需强行平仓头寸由交易所确定。</w:t>
      </w:r>
    </w:p>
    <w:p w14:paraId="5884329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（二）由交易所执行的强行平仓头寸的确定</w:t>
      </w:r>
    </w:p>
    <w:p w14:paraId="6296C6F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1. </w:t>
      </w:r>
      <w:r w:rsidRPr="00726163">
        <w:rPr>
          <w:rFonts w:ascii="Times New Roman" w:eastAsia="仿宋_GB2312" w:hAnsi="Times New Roman"/>
          <w:color w:val="333333"/>
          <w:kern w:val="0"/>
          <w:sz w:val="32"/>
          <w:szCs w:val="32"/>
        </w:rPr>
        <w:t>属第四十一条第（一）项的强行平仓，交易所以该会员在</w:t>
      </w:r>
      <w:r w:rsidRPr="00726163">
        <w:rPr>
          <w:rFonts w:ascii="Times New Roman" w:eastAsia="仿宋_GB2312" w:hAnsi="Times New Roman"/>
          <w:color w:val="333333"/>
          <w:kern w:val="0"/>
          <w:sz w:val="32"/>
          <w:szCs w:val="32"/>
        </w:rPr>
        <w:t>13</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00</w:t>
      </w:r>
      <w:r w:rsidRPr="00726163">
        <w:rPr>
          <w:rFonts w:ascii="Times New Roman" w:eastAsia="仿宋_GB2312" w:hAnsi="Times New Roman"/>
          <w:color w:val="333333"/>
          <w:kern w:val="0"/>
          <w:sz w:val="32"/>
          <w:szCs w:val="32"/>
        </w:rPr>
        <w:t>的结算准备金余额为依据，计算会员应追加的交易保证金，该会员所有客户按交易保证金等比例平仓原则进行强行平仓：</w:t>
      </w:r>
    </w:p>
    <w:p w14:paraId="4D5BDD5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平仓比例</w:t>
      </w:r>
      <w:r w:rsidRPr="00726163">
        <w:rPr>
          <w:rFonts w:ascii="Times New Roman" w:eastAsia="仿宋_GB2312" w:hAnsi="Times New Roman"/>
          <w:color w:val="333333"/>
          <w:kern w:val="0"/>
          <w:sz w:val="32"/>
          <w:szCs w:val="32"/>
        </w:rPr>
        <w:t xml:space="preserve"> = </w:t>
      </w:r>
      <w:r w:rsidRPr="00726163">
        <w:rPr>
          <w:rFonts w:ascii="Times New Roman" w:eastAsia="仿宋_GB2312" w:hAnsi="Times New Roman"/>
          <w:color w:val="333333"/>
          <w:kern w:val="0"/>
          <w:sz w:val="32"/>
          <w:szCs w:val="32"/>
        </w:rPr>
        <w:t>会员应追加交易保证金</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会员交易保证金总额</w:t>
      </w:r>
      <w:r w:rsidRPr="00726163">
        <w:rPr>
          <w:rFonts w:ascii="Times New Roman" w:eastAsia="仿宋_GB2312" w:hAnsi="Times New Roman"/>
          <w:color w:val="333333"/>
          <w:kern w:val="0"/>
          <w:sz w:val="32"/>
          <w:szCs w:val="32"/>
        </w:rPr>
        <w:t>×100%</w:t>
      </w:r>
    </w:p>
    <w:p w14:paraId="5846B30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客户应平仓释放交易保证金</w:t>
      </w:r>
      <w:r w:rsidRPr="00726163">
        <w:rPr>
          <w:rFonts w:ascii="Times New Roman" w:eastAsia="仿宋_GB2312" w:hAnsi="Times New Roman"/>
          <w:color w:val="333333"/>
          <w:kern w:val="0"/>
          <w:sz w:val="32"/>
          <w:szCs w:val="32"/>
        </w:rPr>
        <w:t xml:space="preserve"> = </w:t>
      </w:r>
      <w:r w:rsidRPr="00726163">
        <w:rPr>
          <w:rFonts w:ascii="Times New Roman" w:eastAsia="仿宋_GB2312" w:hAnsi="Times New Roman"/>
          <w:color w:val="333333"/>
          <w:kern w:val="0"/>
          <w:sz w:val="32"/>
          <w:szCs w:val="32"/>
        </w:rPr>
        <w:t>该客户交易保证金总额</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平仓比例</w:t>
      </w:r>
    </w:p>
    <w:p w14:paraId="2B50349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客户需要强行平仓的头寸的总体确定原则为先非组合持仓、后组合持仓。其中：</w:t>
      </w:r>
    </w:p>
    <w:p w14:paraId="3EFE858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1</w:t>
      </w:r>
      <w:r w:rsidRPr="00726163">
        <w:rPr>
          <w:rFonts w:ascii="Times New Roman" w:eastAsia="仿宋_GB2312" w:hAnsi="Times New Roman"/>
          <w:color w:val="333333"/>
          <w:kern w:val="0"/>
          <w:sz w:val="32"/>
          <w:szCs w:val="32"/>
        </w:rPr>
        <w:t>）平非组合持仓时，按先期货、后期权的原则选择强行平仓合约。</w:t>
      </w:r>
    </w:p>
    <w:p w14:paraId="4554A15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平非组合持仓中的期货持仓时，按先投机、后套期保值，再按上一交易日结算时合约总持仓量由大到小顺序选择强行平仓合约。</w:t>
      </w:r>
    </w:p>
    <w:p w14:paraId="5ABE93F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平非组合持仓中的期权持仓时</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按先期权卖持仓、后期权买持仓，先投机、后套期保值，再按上一交易日结算时合约总持仓量由大到小顺序选择强行平仓合约。</w:t>
      </w:r>
    </w:p>
    <w:p w14:paraId="5C406E1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2</w:t>
      </w:r>
      <w:r w:rsidRPr="00726163">
        <w:rPr>
          <w:rFonts w:ascii="Times New Roman" w:eastAsia="仿宋_GB2312" w:hAnsi="Times New Roman"/>
          <w:color w:val="333333"/>
          <w:kern w:val="0"/>
          <w:sz w:val="32"/>
          <w:szCs w:val="32"/>
        </w:rPr>
        <w:t>）平组合持仓时，按组合优先级由低到高顺序选择强行平仓合约。</w:t>
      </w:r>
    </w:p>
    <w:p w14:paraId="2ECD052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若多个会员需要强行平仓的，按追加保证金由大到小的顺序，先平需要追加保证金大的会员。</w:t>
      </w:r>
    </w:p>
    <w:p w14:paraId="0A4BB95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2. </w:t>
      </w:r>
      <w:r w:rsidRPr="00726163">
        <w:rPr>
          <w:rFonts w:ascii="Times New Roman" w:eastAsia="仿宋_GB2312" w:hAnsi="Times New Roman"/>
          <w:color w:val="333333"/>
          <w:kern w:val="0"/>
          <w:sz w:val="32"/>
          <w:szCs w:val="32"/>
        </w:rPr>
        <w:t>属第四十一条第（二）项的强行平仓：若既有投机持仓超仓也有保值持仓超仓，则按先投机持仓后保值持仓的顺序强行平仓。</w:t>
      </w:r>
    </w:p>
    <w:p w14:paraId="1611B7A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若客户在多个期货公司会员处持有投机持仓，则按该客户投机持仓数量由大到小的顺序选择期货公司会员强行平仓。若多个客户投机持仓超仓，则按客户投机超仓数量由大到小顺序强行平仓。</w:t>
      </w:r>
    </w:p>
    <w:p w14:paraId="40BEC62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3. </w:t>
      </w:r>
      <w:r w:rsidRPr="00726163">
        <w:rPr>
          <w:rFonts w:ascii="Times New Roman" w:eastAsia="仿宋_GB2312" w:hAnsi="Times New Roman"/>
          <w:color w:val="333333"/>
          <w:kern w:val="0"/>
          <w:sz w:val="32"/>
          <w:szCs w:val="32"/>
        </w:rPr>
        <w:t>属第四十一条第（三）、（四）、（五）项的强行平仓，强行平仓头寸由交易所根据涉及的会员和客户具体情况确定。</w:t>
      </w:r>
    </w:p>
    <w:p w14:paraId="71C57DA4"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若会员同时满足第四十一条第（一）、（二）项情况，交易所先按第（二）项情况确定强行平仓头寸，再按第（一）项情况确定强行平仓头寸。</w:t>
      </w:r>
    </w:p>
    <w:p w14:paraId="4071FFD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强行平仓的执行：</w:t>
      </w:r>
    </w:p>
    <w:p w14:paraId="7071310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（一）通知。</w:t>
      </w:r>
    </w:p>
    <w:p w14:paraId="4172A36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交易所以</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强行平仓通知书</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（以下简称通知书）的形式向有关会员下达强行平仓要求。通知书除交易所特别送达以外，通过会员服务系统随当日结算数据发送，有关会员可以通过会员服务系统获得。</w:t>
      </w:r>
    </w:p>
    <w:p w14:paraId="65F443F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（二）执行及确认。</w:t>
      </w:r>
    </w:p>
    <w:p w14:paraId="66E063D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1. </w:t>
      </w:r>
      <w:r w:rsidRPr="00726163">
        <w:rPr>
          <w:rFonts w:ascii="Times New Roman" w:eastAsia="仿宋_GB2312" w:hAnsi="Times New Roman"/>
          <w:color w:val="333333"/>
          <w:kern w:val="0"/>
          <w:sz w:val="32"/>
          <w:szCs w:val="32"/>
        </w:rPr>
        <w:t>开市后，有关会员必须首先自行平仓，直至达到平仓要求；</w:t>
      </w:r>
    </w:p>
    <w:p w14:paraId="4963651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2. </w:t>
      </w:r>
      <w:r w:rsidRPr="00726163">
        <w:rPr>
          <w:rFonts w:ascii="Times New Roman" w:eastAsia="仿宋_GB2312" w:hAnsi="Times New Roman"/>
          <w:color w:val="333333"/>
          <w:kern w:val="0"/>
          <w:sz w:val="32"/>
          <w:szCs w:val="32"/>
        </w:rPr>
        <w:t>超过会员自行强行平仓时限而未执行完毕的，剩余部份由交易所直接执行强行平仓；</w:t>
      </w:r>
    </w:p>
    <w:p w14:paraId="052A9E85"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3. </w:t>
      </w:r>
      <w:r w:rsidRPr="00726163">
        <w:rPr>
          <w:rFonts w:ascii="Times New Roman" w:eastAsia="仿宋_GB2312" w:hAnsi="Times New Roman"/>
          <w:color w:val="333333"/>
          <w:kern w:val="0"/>
          <w:sz w:val="32"/>
          <w:szCs w:val="32"/>
        </w:rPr>
        <w:t>强行平仓执行完毕后，由交易所记录执行结果并存档；</w:t>
      </w:r>
    </w:p>
    <w:p w14:paraId="4F100266"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 xml:space="preserve">4. </w:t>
      </w:r>
      <w:r w:rsidRPr="00726163">
        <w:rPr>
          <w:rFonts w:ascii="Times New Roman" w:eastAsia="仿宋_GB2312" w:hAnsi="Times New Roman"/>
          <w:color w:val="333333"/>
          <w:kern w:val="0"/>
          <w:sz w:val="32"/>
          <w:szCs w:val="32"/>
        </w:rPr>
        <w:t>强行平仓结果随当日成交记录发送，有关会员可以通过会员服务系统获得。</w:t>
      </w:r>
    </w:p>
    <w:p w14:paraId="3438D1BB"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强行平仓的委托价格为该合约的涨（跌）停板价格，强行平仓的成交价格通过市场交易形成。</w:t>
      </w:r>
    </w:p>
    <w:p w14:paraId="02D2C22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如因价格涨跌停板或其他市场原因而无法在当日完成全部强行平仓的，交易所根据结算结果，对该会员或客户做出相应的处理。</w:t>
      </w:r>
    </w:p>
    <w:p w14:paraId="6A6E6BF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由于价格涨跌停板限制或其他市场原因，有关持仓的强行平仓只能延时完成的，因此发生的亏损，仍由直接责任人承担；未能完成平仓的，该持仓持有者须继续对此承担持仓责任或交割义务。</w:t>
      </w:r>
    </w:p>
    <w:p w14:paraId="2930C5D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自行向该境外经纪机构追索，境外经纪机构承担损失后，自行向该客户追索。</w:t>
      </w:r>
    </w:p>
    <w:p w14:paraId="4F2385A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本办法第四十一条第（三）项实施的强行平仓，亏损由相应的会员或客户承担，盈利计入交易所营业外收入。</w:t>
      </w:r>
    </w:p>
    <w:p w14:paraId="20CC284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会员或客户强行平仓产生的盈利或者亏损根据《大连商品交易所结算管理办法》平仓盈亏有关规定计算。</w:t>
      </w:r>
    </w:p>
    <w:p w14:paraId="5330D007" w14:textId="77777777" w:rsidR="00726163" w:rsidRPr="007F5233" w:rsidRDefault="00726163" w:rsidP="003E3461">
      <w:pPr>
        <w:shd w:val="clear" w:color="auto" w:fill="FFFFFF"/>
        <w:jc w:val="center"/>
        <w:rPr>
          <w:rFonts w:ascii="黑体" w:eastAsia="黑体" w:hAnsi="黑体"/>
          <w:color w:val="333333"/>
          <w:kern w:val="0"/>
          <w:sz w:val="32"/>
          <w:szCs w:val="32"/>
        </w:rPr>
      </w:pPr>
      <w:r w:rsidRPr="007F5233">
        <w:rPr>
          <w:rFonts w:ascii="黑体" w:eastAsia="黑体" w:hAnsi="黑体"/>
          <w:color w:val="333333"/>
          <w:kern w:val="0"/>
          <w:sz w:val="32"/>
          <w:szCs w:val="32"/>
        </w:rPr>
        <w:t>第八章 异常情况处理</w:t>
      </w:r>
    </w:p>
    <w:p w14:paraId="12A97FE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在期货交易过程中，当出现以下情形之一的，交易所可以宣布进入异常情况，采取紧急措施化解风险：</w:t>
      </w:r>
    </w:p>
    <w:p w14:paraId="0B9C6ED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（一）地震、水灾、火灾等不可抗力或计算机系统故障等不可归责于交易所的原因导致交易无法正常进行；</w:t>
      </w:r>
    </w:p>
    <w:p w14:paraId="0B5561F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（二）会员出现结算、交割危机，对市场正在产生或者将产生重大影响；</w:t>
      </w:r>
    </w:p>
    <w:p w14:paraId="659AE543"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（三）期货价格出现同方向连续涨跌停板</w:t>
      </w:r>
      <w:r w:rsidRPr="00726163">
        <w:rPr>
          <w:rFonts w:ascii="Times New Roman" w:eastAsia="仿宋_GB2312" w:hAnsi="Times New Roman"/>
          <w:color w:val="333333"/>
          <w:kern w:val="0"/>
          <w:sz w:val="32"/>
          <w:szCs w:val="32"/>
        </w:rPr>
        <w:t>,</w:t>
      </w:r>
      <w:r w:rsidRPr="00726163">
        <w:rPr>
          <w:rFonts w:ascii="Times New Roman" w:eastAsia="仿宋_GB2312" w:hAnsi="Times New Roman"/>
          <w:color w:val="333333"/>
          <w:kern w:val="0"/>
          <w:sz w:val="32"/>
          <w:szCs w:val="32"/>
        </w:rPr>
        <w:t>有根据认为会员、境外经纪机构或者客户违反交易所交易规则及其实施细则并且对市场正在产生或者即将产生重大影响；</w:t>
      </w:r>
    </w:p>
    <w:p w14:paraId="025A3A9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（四）交易所规定的其他情况。</w:t>
      </w:r>
    </w:p>
    <w:p w14:paraId="5A85B6D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w:t>
      </w:r>
    </w:p>
    <w:p w14:paraId="56C48B6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第四十九条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在棕榈油期货交易过程中，因战争、社会动荡、自然灾害等因素对棕榈油进口正在产生或者即将产生重大影响时，交易所可以宣布进入异常情况，交易所总经理可以采取调整开市收市时间、暂停交易、终止交易的紧急措施。终止交易当天结算时，棕榈油各合约月份全部持仓按照上一交易日结算价进行平仓。</w:t>
      </w:r>
    </w:p>
    <w:p w14:paraId="4D2601A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在铁矿石期货交易过程中，因战争、社会动荡、自然灾害等因素对铁矿石进口正在产生或者即将产生重大影响时，交易所可以宣布进入异常情况，交易所总经理可以采取调整开市收市时间、暂停交易、终止交易的紧急措施。终止交易当天结算时，铁矿石各合约月份全部持仓按照上一交易日结算价进行平仓。</w:t>
      </w:r>
    </w:p>
    <w:p w14:paraId="461B60A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交易所宣布异常情况并决定采取紧急措施前必须报告中国证监会。</w:t>
      </w:r>
    </w:p>
    <w:p w14:paraId="2358BF5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对棕榈油、铁矿石合约采取终止交易紧急措施的，应当经中国证监会批准。</w:t>
      </w:r>
    </w:p>
    <w:p w14:paraId="1EB1351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第五十二条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14:paraId="0F4D731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交易所宣布进入异常情况并决定暂停交易时，暂停交易的期限不得超过</w:t>
      </w:r>
      <w:r w:rsidRPr="00726163">
        <w:rPr>
          <w:rFonts w:ascii="Times New Roman" w:eastAsia="仿宋_GB2312" w:hAnsi="Times New Roman"/>
          <w:color w:val="333333"/>
          <w:kern w:val="0"/>
          <w:sz w:val="32"/>
          <w:szCs w:val="32"/>
        </w:rPr>
        <w:t>3</w:t>
      </w:r>
      <w:r w:rsidRPr="00726163">
        <w:rPr>
          <w:rFonts w:ascii="Times New Roman" w:eastAsia="仿宋_GB2312" w:hAnsi="Times New Roman"/>
          <w:color w:val="333333"/>
          <w:kern w:val="0"/>
          <w:sz w:val="32"/>
          <w:szCs w:val="32"/>
        </w:rPr>
        <w:t>个交易日，但经中国证监会批准延长的除外。</w:t>
      </w:r>
    </w:p>
    <w:p w14:paraId="29450FC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第五十四条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发生技术故障，存在下列情形时，交易所不承担责任：</w:t>
      </w:r>
    </w:p>
    <w:p w14:paraId="5979FCC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（一）因不可抗力引发的技术故障；</w:t>
      </w:r>
    </w:p>
    <w:p w14:paraId="37E3822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（二）非因交易所过错引发的技术故障；</w:t>
      </w:r>
    </w:p>
    <w:p w14:paraId="2E05424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（三）法律、法规、规章规定的其他免责情形。</w:t>
      </w:r>
    </w:p>
    <w:p w14:paraId="1ACB658C" w14:textId="77777777" w:rsidR="00726163" w:rsidRPr="007F5233" w:rsidRDefault="00726163" w:rsidP="003E3461">
      <w:pPr>
        <w:shd w:val="clear" w:color="auto" w:fill="FFFFFF"/>
        <w:jc w:val="center"/>
        <w:rPr>
          <w:rFonts w:ascii="黑体" w:eastAsia="黑体" w:hAnsi="黑体"/>
          <w:color w:val="333333"/>
          <w:kern w:val="0"/>
          <w:sz w:val="32"/>
          <w:szCs w:val="32"/>
        </w:rPr>
      </w:pPr>
      <w:r w:rsidRPr="007F5233">
        <w:rPr>
          <w:rFonts w:ascii="黑体" w:eastAsia="黑体" w:hAnsi="黑体"/>
          <w:color w:val="333333"/>
          <w:kern w:val="0"/>
          <w:sz w:val="32"/>
          <w:szCs w:val="32"/>
        </w:rPr>
        <w:t>第九章 风险警示制度</w:t>
      </w:r>
    </w:p>
    <w:p w14:paraId="08036C9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第五十五条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交易所实行风险警示制度。当交易所认为必要时，可以分别或同时采取要求报告情况、谈话提醒、发布风险提示函等措施中的一种或多种，以警示和化解风险。</w:t>
      </w:r>
    </w:p>
    <w:p w14:paraId="066A010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第五十六条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出现下列情形之一的，交易所可以要求会员、境外经纪机构或客户报告情况，或约见指定的会员、境外经纪机构高管人员或客户谈话提醒风险：</w:t>
      </w:r>
    </w:p>
    <w:p w14:paraId="2BB61C0C"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（一）合约价格出现异常变动；</w:t>
      </w:r>
    </w:p>
    <w:p w14:paraId="045EBC2C"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（二）品种、合约成交持仓比出现异常变动；</w:t>
      </w:r>
    </w:p>
    <w:p w14:paraId="4165A639"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（三）会员或客户交易行为异常；</w:t>
      </w:r>
    </w:p>
    <w:p w14:paraId="73A6A20F"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（四）会员、境外经纪机构或客户持仓变化较大；</w:t>
      </w:r>
    </w:p>
    <w:p w14:paraId="5AA412FB"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（五）会员、境外经纪机构或客户持仓量过大，或持仓占比过高；</w:t>
      </w:r>
    </w:p>
    <w:p w14:paraId="637918FF"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（六）会员、境外经纪机构或客户成交量过大，或成交占比过高；</w:t>
      </w:r>
    </w:p>
    <w:p w14:paraId="37C0EB78"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（七）会员资金变化较大；</w:t>
      </w:r>
    </w:p>
    <w:p w14:paraId="7F162598"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（八）会员、境外经纪机构或客户涉嫌违规；</w:t>
      </w:r>
    </w:p>
    <w:p w14:paraId="0FAD319B"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（九）会员、境外经纪机构或客户被投诉；</w:t>
      </w:r>
    </w:p>
    <w:p w14:paraId="0254C4AE" w14:textId="77777777" w:rsidR="00726163" w:rsidRPr="00726163" w:rsidRDefault="00726163" w:rsidP="003E3461">
      <w:pPr>
        <w:shd w:val="clear" w:color="auto" w:fill="FFFFFF"/>
        <w:jc w:val="left"/>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（十）会员、境外经纪机构或客户涉及司法调查或诉讼案件；</w:t>
      </w:r>
    </w:p>
    <w:p w14:paraId="0909F1A0"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（十一）交易所认定的其他情形。</w:t>
      </w:r>
    </w:p>
    <w:p w14:paraId="5D87334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交易所要求会员、境外经纪机构或客户报告情况的，会员、境外经纪机构或客户应当按照交易所要求的时间、内容和方式如实报告。</w:t>
      </w:r>
    </w:p>
    <w:p w14:paraId="26C65B4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交易所实施谈话提醒的，会员、境外经纪机构或客户应当按照交易所要求的时间、地点和方式认真履行。</w:t>
      </w:r>
    </w:p>
    <w:p w14:paraId="22A8D4CA"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w:t>
      </w:r>
      <w:r w:rsidRPr="00726163">
        <w:rPr>
          <w:rFonts w:ascii="Times New Roman" w:eastAsia="仿宋_GB2312" w:hAnsi="Times New Roman"/>
          <w:color w:val="333333"/>
          <w:kern w:val="0"/>
          <w:sz w:val="32"/>
          <w:szCs w:val="32"/>
        </w:rPr>
        <w:t>交易所如果使用电话提示方式，应保留电话录音；如果使用视频谈话方式，应保存相关视频；如果使用现场谈话方式，应保存谈话记录。</w:t>
      </w:r>
    </w:p>
    <w:p w14:paraId="41F817F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第五十七条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发生下列情形之一的，交易所可以向全体或部分会员、境外经纪机构和客户发出风险提示函：</w:t>
      </w:r>
    </w:p>
    <w:p w14:paraId="65BCE6C7"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（一）期货市场交易出现异常变化；</w:t>
      </w:r>
    </w:p>
    <w:p w14:paraId="1AEE3E0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（二）国内外期货或现货市场发生较大变化；</w:t>
      </w:r>
    </w:p>
    <w:p w14:paraId="40CE754C"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（三）会员、境外经纪机构或客户涉嫌违规；</w:t>
      </w:r>
    </w:p>
    <w:p w14:paraId="4B76CDE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（四）会员、境外经纪机构或客户交易存在较大风险；</w:t>
      </w:r>
    </w:p>
    <w:p w14:paraId="27C538CF"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（五）交易所认定的其他异常情形。</w:t>
      </w:r>
    </w:p>
    <w:p w14:paraId="542131A4" w14:textId="77777777" w:rsidR="00726163" w:rsidRPr="007F5233" w:rsidRDefault="00726163" w:rsidP="003E3461">
      <w:pPr>
        <w:shd w:val="clear" w:color="auto" w:fill="FFFFFF"/>
        <w:jc w:val="center"/>
        <w:rPr>
          <w:rFonts w:ascii="黑体" w:eastAsia="黑体" w:hAnsi="黑体"/>
          <w:color w:val="333333"/>
          <w:kern w:val="0"/>
          <w:sz w:val="32"/>
          <w:szCs w:val="32"/>
        </w:rPr>
      </w:pPr>
      <w:r w:rsidRPr="007F5233">
        <w:rPr>
          <w:rFonts w:ascii="黑体" w:eastAsia="黑体" w:hAnsi="黑体"/>
          <w:color w:val="333333"/>
          <w:kern w:val="0"/>
          <w:sz w:val="32"/>
          <w:szCs w:val="32"/>
        </w:rPr>
        <w:t>第十章 附则</w:t>
      </w:r>
    </w:p>
    <w:p w14:paraId="187A559E"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第五十八条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违反本办法规定的，交易所按《大连商品交易所违规处理办法》的有关规定处理。</w:t>
      </w:r>
    </w:p>
    <w:p w14:paraId="28335D99"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第五十九条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交易所对期权交易风险管理有特别规定的，适用其规定。</w:t>
      </w:r>
    </w:p>
    <w:p w14:paraId="559A9032"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第六十条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本办法解释权属于大连商品交易所。</w:t>
      </w:r>
    </w:p>
    <w:p w14:paraId="259AB14C" w14:textId="2E8342F9" w:rsidR="00726163" w:rsidRDefault="00726163" w:rsidP="007F5233">
      <w:pPr>
        <w:shd w:val="clear" w:color="auto" w:fill="FFFFFF"/>
        <w:ind w:firstLine="640"/>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第六十一条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本办法自公布之日起实施。</w:t>
      </w:r>
    </w:p>
    <w:p w14:paraId="2786C3D7" w14:textId="77777777" w:rsidR="007F5233" w:rsidRPr="00726163" w:rsidRDefault="007F5233" w:rsidP="007F5233">
      <w:pPr>
        <w:shd w:val="clear" w:color="auto" w:fill="FFFFFF"/>
        <w:ind w:firstLine="640"/>
        <w:rPr>
          <w:rFonts w:ascii="Times New Roman" w:eastAsia="仿宋_GB2312" w:hAnsi="Times New Roman" w:hint="eastAsia"/>
          <w:color w:val="333333"/>
          <w:kern w:val="0"/>
          <w:sz w:val="32"/>
          <w:szCs w:val="32"/>
        </w:rPr>
      </w:pPr>
    </w:p>
    <w:p w14:paraId="53BD571A" w14:textId="275625FB" w:rsidR="00A934CD" w:rsidRDefault="00726163" w:rsidP="00A934CD">
      <w:pPr>
        <w:shd w:val="clear" w:color="auto" w:fill="FFFFFF"/>
        <w:ind w:firstLine="640"/>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附件</w:t>
      </w:r>
      <w:r w:rsidR="00A934CD">
        <w:rPr>
          <w:rFonts w:ascii="Times New Roman" w:eastAsia="仿宋_GB2312" w:hAnsi="Times New Roman" w:hint="eastAsia"/>
          <w:color w:val="333333"/>
          <w:kern w:val="0"/>
          <w:sz w:val="32"/>
          <w:szCs w:val="32"/>
        </w:rPr>
        <w:t>：</w:t>
      </w:r>
      <w:r w:rsidR="00A934CD">
        <w:rPr>
          <w:rFonts w:ascii="Times New Roman" w:eastAsia="仿宋_GB2312" w:hAnsi="Times New Roman"/>
          <w:color w:val="333333"/>
          <w:kern w:val="0"/>
          <w:sz w:val="32"/>
          <w:szCs w:val="32"/>
        </w:rPr>
        <w:t xml:space="preserve">1. </w:t>
      </w:r>
      <w:r w:rsidRPr="00726163">
        <w:rPr>
          <w:rFonts w:ascii="Times New Roman" w:eastAsia="仿宋_GB2312" w:hAnsi="Times New Roman"/>
          <w:color w:val="333333"/>
          <w:kern w:val="0"/>
          <w:sz w:val="32"/>
          <w:szCs w:val="32"/>
        </w:rPr>
        <w:t>连续三个涨跌停板后平仓数量的分配方法及步</w:t>
      </w:r>
    </w:p>
    <w:p w14:paraId="3A907000" w14:textId="208CC70F" w:rsidR="00726163" w:rsidRPr="00726163" w:rsidRDefault="00726163" w:rsidP="00A934CD">
      <w:pPr>
        <w:shd w:val="clear" w:color="auto" w:fill="FFFFFF"/>
        <w:ind w:firstLineChars="600" w:firstLine="1920"/>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骤（略）</w:t>
      </w:r>
    </w:p>
    <w:p w14:paraId="23636893" w14:textId="77777777" w:rsidR="00A934CD"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00A934CD">
        <w:rPr>
          <w:rFonts w:ascii="Times New Roman" w:eastAsia="仿宋_GB2312" w:hAnsi="Times New Roman" w:hint="eastAsia"/>
          <w:color w:val="333333"/>
          <w:kern w:val="0"/>
          <w:sz w:val="32"/>
          <w:szCs w:val="32"/>
        </w:rPr>
        <w:t xml:space="preserve"> </w:t>
      </w:r>
      <w:r w:rsidR="00A934CD">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2</w:t>
      </w:r>
      <w:r w:rsidR="00A934CD">
        <w:rPr>
          <w:rFonts w:ascii="Times New Roman" w:eastAsia="仿宋_GB2312" w:hAnsi="Times New Roman" w:hint="eastAsia"/>
          <w:color w:val="333333"/>
          <w:kern w:val="0"/>
          <w:sz w:val="32"/>
          <w:szCs w:val="32"/>
        </w:rPr>
        <w:t>．</w:t>
      </w:r>
      <w:r w:rsidRPr="00726163">
        <w:rPr>
          <w:rFonts w:ascii="Times New Roman" w:eastAsia="仿宋_GB2312" w:hAnsi="Times New Roman"/>
          <w:color w:val="333333"/>
          <w:kern w:val="0"/>
          <w:sz w:val="32"/>
          <w:szCs w:val="32"/>
        </w:rPr>
        <w:t>大连商品交易所非期货公司会员大户报告表</w:t>
      </w:r>
    </w:p>
    <w:p w14:paraId="52257D1A" w14:textId="5C617F74" w:rsidR="00726163" w:rsidRPr="00726163" w:rsidRDefault="00726163" w:rsidP="00A934CD">
      <w:pPr>
        <w:shd w:val="clear" w:color="auto" w:fill="FFFFFF"/>
        <w:ind w:firstLineChars="600" w:firstLine="1920"/>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（略）</w:t>
      </w:r>
    </w:p>
    <w:p w14:paraId="033D24C4" w14:textId="4C97CDD4"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00A934CD">
        <w:rPr>
          <w:rFonts w:ascii="Times New Roman" w:eastAsia="仿宋_GB2312" w:hAnsi="Times New Roman" w:hint="eastAsia"/>
          <w:color w:val="333333"/>
          <w:kern w:val="0"/>
          <w:sz w:val="32"/>
          <w:szCs w:val="32"/>
        </w:rPr>
        <w:t xml:space="preserve"> </w:t>
      </w:r>
      <w:r w:rsidR="00A934CD">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3</w:t>
      </w:r>
      <w:r w:rsidR="00A934CD">
        <w:rPr>
          <w:rFonts w:ascii="Times New Roman" w:eastAsia="仿宋_GB2312" w:hAnsi="Times New Roman" w:hint="eastAsia"/>
          <w:color w:val="333333"/>
          <w:kern w:val="0"/>
          <w:sz w:val="32"/>
          <w:szCs w:val="32"/>
        </w:rPr>
        <w:t>．</w:t>
      </w:r>
      <w:r w:rsidRPr="00726163">
        <w:rPr>
          <w:rFonts w:ascii="Times New Roman" w:eastAsia="仿宋_GB2312" w:hAnsi="Times New Roman"/>
          <w:color w:val="333333"/>
          <w:kern w:val="0"/>
          <w:sz w:val="32"/>
          <w:szCs w:val="32"/>
        </w:rPr>
        <w:t>大连商品交易所客户大户报告表（略）</w:t>
      </w:r>
    </w:p>
    <w:p w14:paraId="5BB83045"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sectPr w:rsidR="00726163" w:rsidRPr="00726163">
          <w:pgSz w:w="11906" w:h="16838"/>
          <w:pgMar w:top="1440" w:right="1800" w:bottom="1440" w:left="1800" w:header="851" w:footer="992" w:gutter="0"/>
          <w:cols w:space="425"/>
          <w:docGrid w:type="lines" w:linePitch="312"/>
        </w:sectPr>
      </w:pPr>
    </w:p>
    <w:p w14:paraId="4420A255" w14:textId="7A51CC8E" w:rsidR="00726163" w:rsidRPr="00726163" w:rsidRDefault="00726163" w:rsidP="003E3461">
      <w:pPr>
        <w:spacing w:line="580" w:lineRule="exact"/>
        <w:jc w:val="left"/>
        <w:rPr>
          <w:rFonts w:ascii="Times New Roman" w:eastAsia="仿宋_GB2312" w:hAnsi="Times New Roman"/>
          <w:sz w:val="32"/>
          <w:szCs w:val="32"/>
        </w:rPr>
      </w:pPr>
      <w:r w:rsidRPr="00726163">
        <w:rPr>
          <w:rFonts w:ascii="Times New Roman" w:eastAsia="仿宋_GB2312" w:hAnsi="Times New Roman"/>
          <w:sz w:val="32"/>
          <w:szCs w:val="32"/>
        </w:rPr>
        <w:t>附件</w:t>
      </w:r>
      <w:r w:rsidRPr="00726163">
        <w:rPr>
          <w:rFonts w:ascii="Times New Roman" w:eastAsia="仿宋_GB2312" w:hAnsi="Times New Roman"/>
          <w:sz w:val="32"/>
          <w:szCs w:val="32"/>
        </w:rPr>
        <w:t>5</w:t>
      </w:r>
      <w:r w:rsidR="00DA4CEB">
        <w:rPr>
          <w:rFonts w:ascii="Times New Roman" w:eastAsia="仿宋_GB2312" w:hAnsi="Times New Roman" w:hint="eastAsia"/>
          <w:sz w:val="32"/>
          <w:szCs w:val="32"/>
        </w:rPr>
        <w:t>：</w:t>
      </w:r>
    </w:p>
    <w:p w14:paraId="33006A80" w14:textId="77777777" w:rsidR="00726163" w:rsidRPr="00726163" w:rsidRDefault="00726163" w:rsidP="003E3461">
      <w:pPr>
        <w:spacing w:line="580" w:lineRule="exact"/>
        <w:jc w:val="left"/>
        <w:rPr>
          <w:rFonts w:ascii="Times New Roman" w:eastAsia="仿宋_GB2312" w:hAnsi="Times New Roman"/>
          <w:sz w:val="32"/>
          <w:szCs w:val="32"/>
        </w:rPr>
      </w:pPr>
    </w:p>
    <w:p w14:paraId="32027F40"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《大连商品交易所套期保值管理办法》</w:t>
      </w:r>
    </w:p>
    <w:p w14:paraId="24D8906B"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修正案</w:t>
      </w:r>
    </w:p>
    <w:p w14:paraId="23292E5E"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7DE48949" w14:textId="77777777" w:rsidR="00726163" w:rsidRPr="00726163" w:rsidRDefault="00726163" w:rsidP="003E3461">
      <w:pPr>
        <w:shd w:val="clear" w:color="auto" w:fill="FFFFFF"/>
        <w:ind w:firstLineChars="200" w:firstLine="640"/>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第十三条</w:t>
      </w: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交易所对增加一般月份套期保值持仓额度的申请，按主体资格是否符合，套期保值品种、交易部位、买卖数量、套期保值时间与其生产经营规模、历史经营状况、资金等情况是否相适应进行审核，确定其一般月份套期保值持仓增加额度。</w:t>
      </w:r>
    </w:p>
    <w:p w14:paraId="4373BE1D"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w:t>
      </w:r>
    </w:p>
    <w:p w14:paraId="4A513D78"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非期货公司会员和客户一般月份套期保值持仓进入交割月份时，交易所将按其一般月份套期保值持仓数量与该品种交割月份投机持仓限额中的较低标准，转化为交割月份套期保值持仓增加额度，焦炭、焦煤、纤维板、胶合板、鸡蛋、乙二醇、粳米、苯乙烯</w:t>
      </w:r>
      <w:r w:rsidRPr="00726163">
        <w:rPr>
          <w:rFonts w:ascii="Times New Roman" w:eastAsia="仿宋_GB2312" w:hAnsi="Times New Roman"/>
          <w:color w:val="333333"/>
          <w:kern w:val="0"/>
          <w:sz w:val="32"/>
          <w:szCs w:val="32"/>
          <w:shd w:val="pct15" w:color="auto" w:fill="FFFFFF"/>
        </w:rPr>
        <w:t>、液化石油气</w:t>
      </w:r>
      <w:r w:rsidRPr="00726163">
        <w:rPr>
          <w:rFonts w:ascii="Times New Roman" w:eastAsia="仿宋_GB2312" w:hAnsi="Times New Roman"/>
          <w:color w:val="333333"/>
          <w:kern w:val="0"/>
          <w:sz w:val="32"/>
          <w:szCs w:val="32"/>
        </w:rPr>
        <w:t>品种除外。</w:t>
      </w:r>
    </w:p>
    <w:p w14:paraId="29B003C1" w14:textId="77777777" w:rsidR="00726163" w:rsidRPr="00726163" w:rsidRDefault="00726163" w:rsidP="003E3461">
      <w:pPr>
        <w:shd w:val="clear" w:color="auto" w:fill="FFFFFF"/>
        <w:rPr>
          <w:rFonts w:ascii="Times New Roman" w:eastAsia="仿宋_GB2312" w:hAnsi="Times New Roman"/>
          <w:color w:val="333333"/>
          <w:kern w:val="0"/>
          <w:sz w:val="32"/>
          <w:szCs w:val="32"/>
        </w:rPr>
      </w:pPr>
      <w:r w:rsidRPr="00726163">
        <w:rPr>
          <w:rFonts w:ascii="Times New Roman" w:eastAsia="仿宋_GB2312" w:hAnsi="Times New Roman"/>
          <w:color w:val="333333"/>
          <w:kern w:val="0"/>
          <w:sz w:val="32"/>
          <w:szCs w:val="32"/>
        </w:rPr>
        <w:t xml:space="preserve">　　</w:t>
      </w:r>
      <w:r w:rsidRPr="00726163">
        <w:rPr>
          <w:rFonts w:ascii="Times New Roman" w:eastAsia="仿宋_GB2312" w:hAnsi="Times New Roman"/>
          <w:color w:val="333333"/>
          <w:kern w:val="0"/>
          <w:sz w:val="32"/>
          <w:szCs w:val="32"/>
        </w:rPr>
        <w:t>……</w:t>
      </w:r>
    </w:p>
    <w:p w14:paraId="608CD0D0" w14:textId="77777777" w:rsidR="00726163" w:rsidRPr="00726163" w:rsidRDefault="00726163" w:rsidP="003E3461">
      <w:pPr>
        <w:adjustRightInd w:val="0"/>
        <w:snapToGrid w:val="0"/>
        <w:ind w:firstLineChars="200" w:firstLine="520"/>
        <w:rPr>
          <w:rFonts w:ascii="Times New Roman" w:eastAsia="楷体_GB2312" w:hAnsi="Times New Roman"/>
          <w:color w:val="000000"/>
          <w:spacing w:val="-10"/>
          <w:sz w:val="28"/>
          <w:szCs w:val="28"/>
        </w:rPr>
      </w:pPr>
    </w:p>
    <w:p w14:paraId="1533A344" w14:textId="77777777" w:rsidR="00726163" w:rsidRPr="00726163" w:rsidRDefault="00726163" w:rsidP="003E3461">
      <w:pPr>
        <w:adjustRightInd w:val="0"/>
        <w:snapToGrid w:val="0"/>
        <w:ind w:firstLineChars="200" w:firstLine="560"/>
        <w:rPr>
          <w:rFonts w:ascii="Times New Roman" w:eastAsia="楷体" w:hAnsi="Times New Roman"/>
          <w:color w:val="333333"/>
          <w:kern w:val="0"/>
          <w:sz w:val="28"/>
          <w:szCs w:val="28"/>
        </w:rPr>
      </w:pPr>
      <w:r w:rsidRPr="00726163">
        <w:rPr>
          <w:rFonts w:ascii="Times New Roman" w:eastAsia="楷体" w:hAnsi="Times New Roman"/>
          <w:color w:val="333333"/>
          <w:kern w:val="0"/>
          <w:sz w:val="28"/>
          <w:szCs w:val="28"/>
        </w:rPr>
        <w:t>注：阴影部分为新增内容，</w:t>
      </w:r>
      <w:r w:rsidRPr="00726163">
        <w:rPr>
          <w:rFonts w:ascii="Times New Roman" w:eastAsia="楷体" w:hAnsi="Times New Roman"/>
          <w:color w:val="333333"/>
          <w:kern w:val="0"/>
          <w:sz w:val="28"/>
          <w:szCs w:val="28"/>
        </w:rPr>
        <w:t xml:space="preserve"> “……”</w:t>
      </w:r>
      <w:r w:rsidRPr="00726163">
        <w:rPr>
          <w:rFonts w:ascii="Times New Roman" w:eastAsia="楷体" w:hAnsi="Times New Roman"/>
          <w:color w:val="333333"/>
          <w:kern w:val="0"/>
          <w:sz w:val="28"/>
          <w:szCs w:val="28"/>
        </w:rPr>
        <w:t>（省略号）含义为该条款未修改的其他内容。</w:t>
      </w:r>
    </w:p>
    <w:p w14:paraId="790B2A29" w14:textId="77777777" w:rsidR="00726163" w:rsidRPr="00726163" w:rsidRDefault="00726163" w:rsidP="003E3461">
      <w:pPr>
        <w:shd w:val="clear" w:color="auto" w:fill="FFFFFF"/>
        <w:rPr>
          <w:rFonts w:ascii="Times New Roman" w:eastAsia="仿宋_GB2312" w:hAnsi="Times New Roman"/>
          <w:kern w:val="0"/>
          <w:sz w:val="32"/>
          <w:szCs w:val="32"/>
        </w:rPr>
      </w:pPr>
    </w:p>
    <w:p w14:paraId="3C5D6B85"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sectPr w:rsidR="00726163" w:rsidRPr="00726163">
          <w:pgSz w:w="11906" w:h="16838"/>
          <w:pgMar w:top="1440" w:right="1800" w:bottom="1440" w:left="1800" w:header="851" w:footer="992" w:gutter="0"/>
          <w:cols w:space="425"/>
          <w:docGrid w:type="lines" w:linePitch="312"/>
        </w:sectPr>
      </w:pPr>
    </w:p>
    <w:p w14:paraId="66F29445" w14:textId="77777777" w:rsidR="00726163" w:rsidRPr="00726163" w:rsidRDefault="00726163" w:rsidP="003E3461">
      <w:pPr>
        <w:spacing w:line="580" w:lineRule="exact"/>
        <w:jc w:val="left"/>
        <w:rPr>
          <w:rFonts w:ascii="Times New Roman" w:eastAsia="仿宋_GB2312" w:hAnsi="Times New Roman"/>
          <w:sz w:val="32"/>
          <w:szCs w:val="32"/>
        </w:rPr>
      </w:pPr>
    </w:p>
    <w:p w14:paraId="032F1BCC"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《大连商品交易所套期保值管理办法》</w:t>
      </w:r>
    </w:p>
    <w:p w14:paraId="414A16D5"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修订稿</w:t>
      </w:r>
    </w:p>
    <w:p w14:paraId="525ACC49"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005BF460" w14:textId="77777777" w:rsidR="00726163" w:rsidRPr="00DA4CEB" w:rsidRDefault="00726163" w:rsidP="003E3461">
      <w:pPr>
        <w:shd w:val="clear" w:color="auto" w:fill="FFFFFF"/>
        <w:jc w:val="center"/>
        <w:rPr>
          <w:rFonts w:ascii="黑体" w:eastAsia="黑体" w:hAnsi="黑体"/>
          <w:color w:val="333333"/>
          <w:kern w:val="0"/>
          <w:sz w:val="30"/>
          <w:szCs w:val="30"/>
        </w:rPr>
      </w:pPr>
      <w:r w:rsidRPr="00DA4CEB">
        <w:rPr>
          <w:rFonts w:ascii="黑体" w:eastAsia="黑体" w:hAnsi="黑体"/>
          <w:color w:val="333333"/>
          <w:kern w:val="0"/>
          <w:sz w:val="30"/>
          <w:szCs w:val="30"/>
        </w:rPr>
        <w:t>第一章</w:t>
      </w:r>
      <w:r w:rsidRPr="00DA4CEB">
        <w:rPr>
          <w:rFonts w:ascii="Calibri" w:eastAsia="黑体" w:hAnsi="Calibri" w:cs="Calibri"/>
          <w:color w:val="333333"/>
          <w:kern w:val="0"/>
          <w:sz w:val="30"/>
          <w:szCs w:val="30"/>
        </w:rPr>
        <w:t> </w:t>
      </w:r>
      <w:r w:rsidRPr="00DA4CEB">
        <w:rPr>
          <w:rFonts w:ascii="黑体" w:eastAsia="黑体" w:hAnsi="黑体"/>
          <w:color w:val="333333"/>
          <w:kern w:val="0"/>
          <w:sz w:val="30"/>
          <w:szCs w:val="30"/>
        </w:rPr>
        <w:t xml:space="preserve"> 总则</w:t>
      </w:r>
    </w:p>
    <w:p w14:paraId="62BAB0E8"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第一条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为充分发挥期货市场的套期保值功能，促进期货市场的规范发展，根据《大连商品交易所交易规则》等有关规定制定本办法。</w:t>
      </w:r>
    </w:p>
    <w:p w14:paraId="2F21B0AA"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第二条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套期保值实行资格认定和额度管理制度。按照合约月份的不同，套期保值持仓额度分为一般月份套期保值持仓额度</w:t>
      </w:r>
      <w:r w:rsidRPr="00726163">
        <w:rPr>
          <w:rFonts w:ascii="Times New Roman" w:eastAsia="仿宋_GB2312" w:hAnsi="Times New Roman"/>
          <w:color w:val="333333"/>
          <w:kern w:val="0"/>
          <w:sz w:val="30"/>
          <w:szCs w:val="30"/>
        </w:rPr>
        <w:t>(</w:t>
      </w:r>
      <w:r w:rsidRPr="00726163">
        <w:rPr>
          <w:rFonts w:ascii="Times New Roman" w:eastAsia="仿宋_GB2312" w:hAnsi="Times New Roman"/>
          <w:color w:val="333333"/>
          <w:kern w:val="0"/>
          <w:sz w:val="30"/>
          <w:szCs w:val="30"/>
        </w:rPr>
        <w:t>自合约上市之日起至交割月份前第一个月最后一个交易日</w:t>
      </w:r>
      <w:r w:rsidRPr="00726163">
        <w:rPr>
          <w:rFonts w:ascii="Times New Roman" w:eastAsia="仿宋_GB2312" w:hAnsi="Times New Roman"/>
          <w:color w:val="333333"/>
          <w:kern w:val="0"/>
          <w:sz w:val="30"/>
          <w:szCs w:val="30"/>
        </w:rPr>
        <w:t>)</w:t>
      </w:r>
      <w:r w:rsidRPr="00726163">
        <w:rPr>
          <w:rFonts w:ascii="Times New Roman" w:eastAsia="仿宋_GB2312" w:hAnsi="Times New Roman"/>
          <w:color w:val="333333"/>
          <w:kern w:val="0"/>
          <w:sz w:val="30"/>
          <w:szCs w:val="30"/>
        </w:rPr>
        <w:t>和交割月份套期保值持仓额度。</w:t>
      </w:r>
    </w:p>
    <w:p w14:paraId="3A833FB4"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第三条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会员、境外经纪机构、客户在大连商品交易所（以下简称交易所）从事套期保值业务，应当遵守本办法。</w:t>
      </w:r>
    </w:p>
    <w:p w14:paraId="582F9CFA" w14:textId="77777777" w:rsidR="00726163" w:rsidRPr="00DA4CEB" w:rsidRDefault="00726163" w:rsidP="003E3461">
      <w:pPr>
        <w:shd w:val="clear" w:color="auto" w:fill="FFFFFF"/>
        <w:jc w:val="center"/>
        <w:rPr>
          <w:rFonts w:ascii="黑体" w:eastAsia="黑体" w:hAnsi="黑体"/>
          <w:color w:val="333333"/>
          <w:kern w:val="0"/>
          <w:sz w:val="32"/>
          <w:szCs w:val="32"/>
        </w:rPr>
      </w:pPr>
      <w:r w:rsidRPr="00DA4CEB">
        <w:rPr>
          <w:rFonts w:ascii="黑体" w:eastAsia="黑体" w:hAnsi="黑体"/>
          <w:color w:val="333333"/>
          <w:kern w:val="0"/>
          <w:sz w:val="32"/>
          <w:szCs w:val="32"/>
        </w:rPr>
        <w:t>第二章 资格认定</w:t>
      </w:r>
    </w:p>
    <w:p w14:paraId="35A612B0"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第四条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从事套期保值交易的非期货公司会员和客户应当具备与套期保值交易品种相关的生产经营资格。</w:t>
      </w:r>
    </w:p>
    <w:p w14:paraId="3F27CB0C"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第五条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从事套期保值交易的非期货公司会员和客户，应当向交易所提交下列申请材料：</w:t>
      </w:r>
    </w:p>
    <w:p w14:paraId="74A54E6B"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（一）套期保值交易资格申请表，主要包括申请人基本信息、申请品种及交易所要求的其他信息；</w:t>
      </w:r>
    </w:p>
    <w:p w14:paraId="04BE4E85"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（二）企业营业执照副本复印件；</w:t>
      </w:r>
    </w:p>
    <w:p w14:paraId="13D6EA4F"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（三）交易所要求的其他材料。</w:t>
      </w:r>
    </w:p>
    <w:p w14:paraId="36E78FB3"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客户应当通过期货公司会员提交申请，其申请资料经期货公司会员审核后，由期货公司会员代客户按本办法向交易所办理申报手续；非期货公司会员直接向交易所办理申报手续。委托境外经纪机构从事期货交易的客户申请套期保值资格的，应当委托其境外经纪机构办理，境外经纪机构再委托期货公司会员办理。</w:t>
      </w:r>
    </w:p>
    <w:p w14:paraId="6C8085F0"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第六条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交易所在收到完整的申请材料后</w:t>
      </w:r>
      <w:r w:rsidRPr="00726163">
        <w:rPr>
          <w:rFonts w:ascii="Times New Roman" w:eastAsia="仿宋_GB2312" w:hAnsi="Times New Roman"/>
          <w:color w:val="333333"/>
          <w:kern w:val="0"/>
          <w:sz w:val="30"/>
          <w:szCs w:val="30"/>
        </w:rPr>
        <w:t>5</w:t>
      </w:r>
      <w:r w:rsidRPr="00726163">
        <w:rPr>
          <w:rFonts w:ascii="Times New Roman" w:eastAsia="仿宋_GB2312" w:hAnsi="Times New Roman"/>
          <w:color w:val="333333"/>
          <w:kern w:val="0"/>
          <w:sz w:val="30"/>
          <w:szCs w:val="30"/>
        </w:rPr>
        <w:t>个工作日内进行审核并予以答复。</w:t>
      </w:r>
    </w:p>
    <w:p w14:paraId="199F4612" w14:textId="77777777" w:rsidR="00726163" w:rsidRPr="00DA4CEB" w:rsidRDefault="00726163" w:rsidP="003E3461">
      <w:pPr>
        <w:shd w:val="clear" w:color="auto" w:fill="FFFFFF"/>
        <w:jc w:val="center"/>
        <w:rPr>
          <w:rFonts w:ascii="黑体" w:eastAsia="黑体" w:hAnsi="黑体"/>
          <w:color w:val="333333"/>
          <w:kern w:val="0"/>
          <w:sz w:val="32"/>
          <w:szCs w:val="32"/>
        </w:rPr>
      </w:pPr>
      <w:r w:rsidRPr="00DA4CEB">
        <w:rPr>
          <w:rFonts w:ascii="黑体" w:eastAsia="黑体" w:hAnsi="黑体"/>
          <w:color w:val="333333"/>
          <w:kern w:val="0"/>
          <w:sz w:val="32"/>
          <w:szCs w:val="32"/>
        </w:rPr>
        <w:t>第三章</w:t>
      </w:r>
      <w:r w:rsidRPr="00DA4CEB">
        <w:rPr>
          <w:rFonts w:ascii="Calibri" w:eastAsia="黑体" w:hAnsi="Calibri" w:cs="Calibri"/>
          <w:color w:val="333333"/>
          <w:kern w:val="0"/>
          <w:sz w:val="32"/>
          <w:szCs w:val="32"/>
        </w:rPr>
        <w:t> </w:t>
      </w:r>
      <w:r w:rsidRPr="00DA4CEB">
        <w:rPr>
          <w:rFonts w:ascii="黑体" w:eastAsia="黑体" w:hAnsi="黑体"/>
          <w:color w:val="333333"/>
          <w:kern w:val="0"/>
          <w:sz w:val="32"/>
          <w:szCs w:val="32"/>
        </w:rPr>
        <w:t xml:space="preserve"> 持仓额度</w:t>
      </w:r>
    </w:p>
    <w:p w14:paraId="0E4FDA03"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第七条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非期货公司会员和客户取得套期保值交易资格后，可以在相关品种的期货、期权合约上进行套期保值交易。</w:t>
      </w:r>
    </w:p>
    <w:p w14:paraId="286B64C8"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取得套期保值交易资格的非期货公司会员和客户，可通过交易指令直接建立套期保值持仓，也可通过对历史投机持仓确认的方式建立套期保值持仓。</w:t>
      </w:r>
    </w:p>
    <w:p w14:paraId="3B060F45"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第八条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未取得套期保值持仓增加额度的，非期货公司会员和客户的套期保值持仓额度在数量上等同于投机持仓限额。</w:t>
      </w:r>
    </w:p>
    <w:p w14:paraId="72848FE6"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非期货公司会员和客户可以申请增加套期保值持仓额度。取得套期保值持仓增加额度的，非期货公司会员和客户的套期保值持仓额度在数量上等同于投机持仓限额与套期保值持仓增加额度之和。</w:t>
      </w:r>
    </w:p>
    <w:p w14:paraId="62914F7B"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非期货公司会员和客户的套期保值持仓量不得超过交易所确定的套期保值持仓额度，套期保值持仓量和投机持仓量合计不得超过交易所确定的套期保值持仓额度。</w:t>
      </w:r>
    </w:p>
    <w:p w14:paraId="7BA3154B"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第九条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客户应当通过期货公司会员提交增加套期保值持仓额度的申请，其申请资料经期货公司会员审核后，由期货公司会员代客户按本办法向交易所办理申报手续；非期货公司会员直接向交易所办理申报手续。委托境外经纪机构从事期货交易的客户申请套期保值额度的，应当委托其境外经纪机构办理，境外经纪机构再委托期货公司会员办理。</w:t>
      </w:r>
    </w:p>
    <w:p w14:paraId="3A74E8DD"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申请增加一般月份套期保值持仓额度，应当向交易所提交下列材料：</w:t>
      </w:r>
    </w:p>
    <w:p w14:paraId="321641A0"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（一）增加套期保值持仓额度申请表，主要包括申请人基本信息、申请品种和数量及交易所要求的其他信息。</w:t>
      </w:r>
    </w:p>
    <w:p w14:paraId="1AE05AB7"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（二）所申请品种近一年的现货经营业绩及套期保值期间的现货经营计划；</w:t>
      </w:r>
    </w:p>
    <w:p w14:paraId="2C04CBD0"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（三）交易所要求的其他材料。</w:t>
      </w:r>
    </w:p>
    <w:p w14:paraId="4F0BC048"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上述材料如果已经提交给交易所，则无需再次提交。</w:t>
      </w:r>
    </w:p>
    <w:p w14:paraId="10DC5C35"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第十一条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申请增加交割月份套期保值持仓额度，应当向交易所提交下列材料：</w:t>
      </w:r>
    </w:p>
    <w:p w14:paraId="70CA0CC1"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（一）增加套期保值持仓额度申请表，主要包括申请人基本信息、申请品种和数量及交易所要求的其他信息。</w:t>
      </w:r>
    </w:p>
    <w:p w14:paraId="12584E76"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（二）已持有的及拟持有的现货证明材料及用途说明；</w:t>
      </w:r>
    </w:p>
    <w:p w14:paraId="60C6D291"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（三）所申请品种近一年的现货经营业绩及套期保值期间的现货经营计划；</w:t>
      </w:r>
    </w:p>
    <w:p w14:paraId="4688EC60"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（四）交易所要求的其他材料。</w:t>
      </w:r>
    </w:p>
    <w:p w14:paraId="0DE107B4"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上述材料如果已经提交给交易所，则无需再次提交。</w:t>
      </w:r>
    </w:p>
    <w:p w14:paraId="0CF13C4A"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第十二条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申请增加一般月份套期保值持仓额度的截止日为套期保值合约交割月份前第二个月的最后交易日，逾期交易所不再受理增加该合约一般月份套期保值持仓额度的申请。申请人可以一次申请增加多个合约的一般月份套期保值持仓额度。</w:t>
      </w:r>
    </w:p>
    <w:p w14:paraId="1DA2A9B1"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申请增加交割月份套期保值持仓额度的截止日为套期保值合约交割月份前第一个月的最后交易日，逾期交易所不再受理该合约交割月份套期保值持仓额度的申请。</w:t>
      </w:r>
    </w:p>
    <w:p w14:paraId="0454B7BB"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第十三条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交易所对增加一般月份套期保值持仓额度的申请，按主体资格是否符合，套期保值品种、交易部位、买卖数量、套期保值时间与其生产经营规模、历史经营状况、资金等情况是否相适应进行审核，确定其一般月份套期保值持仓增加额度。</w:t>
      </w:r>
    </w:p>
    <w:p w14:paraId="41193EE6"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对增加交割月份套期保值持仓额度的申请，交易所将按照申请人的交易部位和数量、现货经营状况，对应合约的持仓状况、可供交割品的数量以及期现价格是否背离等因素，确定其交割月份套期保值持仓增加额度。</w:t>
      </w:r>
    </w:p>
    <w:p w14:paraId="008EDFB7"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非期货公司会员和客户一般月份套期保值持仓进入交割月份时，交易所将按其一般月份套期保值持仓数量与该品种交割月份投机持仓限额中的较低标准，转化为交割月份套期保值持仓增加额度，焦炭、焦煤、纤维板、胶合板、鸡蛋、乙二醇、粳米、苯乙烯、液化石油气品种除外。</w:t>
      </w:r>
    </w:p>
    <w:p w14:paraId="04292103"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套期保值持仓增加额度不得超过申请人所提供的套期保值证明材料中所申报的数量。申请人全年各期货、期权合约月份一般月份套期保值持仓累计不得超过其当年生产能力、当年生产计划。</w:t>
      </w:r>
    </w:p>
    <w:p w14:paraId="38E4260A"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第十四条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对增加一般月份套期保值额度的申请，交易所在收到完整的申请材料后</w:t>
      </w:r>
      <w:r w:rsidRPr="00726163">
        <w:rPr>
          <w:rFonts w:ascii="Times New Roman" w:eastAsia="仿宋_GB2312" w:hAnsi="Times New Roman"/>
          <w:color w:val="333333"/>
          <w:kern w:val="0"/>
          <w:sz w:val="30"/>
          <w:szCs w:val="30"/>
        </w:rPr>
        <w:t>5</w:t>
      </w:r>
      <w:r w:rsidRPr="00726163">
        <w:rPr>
          <w:rFonts w:ascii="Times New Roman" w:eastAsia="仿宋_GB2312" w:hAnsi="Times New Roman"/>
          <w:color w:val="333333"/>
          <w:kern w:val="0"/>
          <w:sz w:val="30"/>
          <w:szCs w:val="30"/>
        </w:rPr>
        <w:t>个工作日内进行审核并予以答复。对增加交割月份套期保值额度的申请，交易所在收到完整的申请材料后，于该合约交割月前第一个月的第一个交易日起进行审核，并在</w:t>
      </w:r>
      <w:r w:rsidRPr="00726163">
        <w:rPr>
          <w:rFonts w:ascii="Times New Roman" w:eastAsia="仿宋_GB2312" w:hAnsi="Times New Roman"/>
          <w:color w:val="333333"/>
          <w:kern w:val="0"/>
          <w:sz w:val="30"/>
          <w:szCs w:val="30"/>
        </w:rPr>
        <w:t>5</w:t>
      </w:r>
      <w:r w:rsidRPr="00726163">
        <w:rPr>
          <w:rFonts w:ascii="Times New Roman" w:eastAsia="仿宋_GB2312" w:hAnsi="Times New Roman"/>
          <w:color w:val="333333"/>
          <w:kern w:val="0"/>
          <w:sz w:val="30"/>
          <w:szCs w:val="30"/>
        </w:rPr>
        <w:t>个交易日内予以答复。</w:t>
      </w:r>
    </w:p>
    <w:p w14:paraId="23942A94"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第十五条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交易所可以对套期保值交易的保证金、手续费采取优惠措施。</w:t>
      </w:r>
    </w:p>
    <w:p w14:paraId="06323B4C" w14:textId="77777777" w:rsidR="00726163" w:rsidRPr="00DA4CEB" w:rsidRDefault="00726163" w:rsidP="003E3461">
      <w:pPr>
        <w:shd w:val="clear" w:color="auto" w:fill="FFFFFF"/>
        <w:jc w:val="center"/>
        <w:rPr>
          <w:rFonts w:ascii="黑体" w:eastAsia="黑体" w:hAnsi="黑体"/>
          <w:color w:val="333333"/>
          <w:kern w:val="0"/>
          <w:sz w:val="32"/>
          <w:szCs w:val="32"/>
        </w:rPr>
      </w:pPr>
      <w:r w:rsidRPr="00DA4CEB">
        <w:rPr>
          <w:rFonts w:ascii="黑体" w:eastAsia="黑体" w:hAnsi="黑体"/>
          <w:color w:val="333333"/>
          <w:kern w:val="0"/>
          <w:sz w:val="32"/>
          <w:szCs w:val="32"/>
        </w:rPr>
        <w:t>第四章</w:t>
      </w:r>
      <w:r w:rsidRPr="00DA4CEB">
        <w:rPr>
          <w:rFonts w:ascii="Calibri" w:eastAsia="黑体" w:hAnsi="Calibri" w:cs="Calibri"/>
          <w:color w:val="333333"/>
          <w:kern w:val="0"/>
          <w:sz w:val="32"/>
          <w:szCs w:val="32"/>
        </w:rPr>
        <w:t> </w:t>
      </w:r>
      <w:r w:rsidRPr="00DA4CEB">
        <w:rPr>
          <w:rFonts w:ascii="黑体" w:eastAsia="黑体" w:hAnsi="黑体"/>
          <w:color w:val="333333"/>
          <w:kern w:val="0"/>
          <w:sz w:val="32"/>
          <w:szCs w:val="32"/>
        </w:rPr>
        <w:t xml:space="preserve"> 监督管理</w:t>
      </w:r>
    </w:p>
    <w:p w14:paraId="501989AE"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第十六条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交易所对非期货公司会员和客户提供的有关生产经营状况、资信情况及期货、期权、现货市场交易行为可随时进行监督和调查，非期货公司会员和客户应予协助和配合。</w:t>
      </w:r>
    </w:p>
    <w:p w14:paraId="7EC3C574"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交易所可以要求具有套期保值交易资格的非期货公司会员和客户报告现货、期货、期权交易情况。</w:t>
      </w:r>
    </w:p>
    <w:p w14:paraId="377AECE6"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第十七条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交易所对非期货公司会员和客户套期保值交易情况进行监督管理。</w:t>
      </w:r>
    </w:p>
    <w:p w14:paraId="01DF13D7"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第十八条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具有套期保值交易资格的非期货公司会员和客户在企业情况发生重大变化时，或者有影响套期保值交易资格的情况发生时，应及时向交易所报告。非期货公司会员和客户需要调整套期保值持仓额度时，应当及时向交易所提出变更申请。</w:t>
      </w:r>
    </w:p>
    <w:p w14:paraId="6608E23D"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第十九条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交易所可以根据市场情况和套期保值企业的生产经营状况对非期货公司会员和客户套期保值交易资格和套期保值持仓可增加的额度进行调整。</w:t>
      </w:r>
    </w:p>
    <w:p w14:paraId="7DDC34C5"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第二十条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为化解市场风险，按有关规定实施减仓时，按先投机持仓后套期保值持仓的顺序进行减仓。</w:t>
      </w:r>
    </w:p>
    <w:p w14:paraId="03E16F05"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第二十一条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非期货公司会员和客户套期保值持仓与投机持仓合计超过交易所规定标准的，应当在下一交易日第二节交易结束前自行调整；逾期未进行调整或调整后仍不符合要求的，交易所可以强行平仓。</w:t>
      </w:r>
    </w:p>
    <w:p w14:paraId="7A6CB342"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第二十二条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具有套期保值交易资格的非期货公司会员和客户频繁进行开平仓交易的，影响或者企图影响市场价格的，交易所可以对其采取谈话提醒、书面警示、调整或者取消其套期保值持仓增加额度、取消套期保值交易资格，必要时可以采取限制开仓、限期平仓、强行平仓等措施，并按《大连商品交易所违规处理办法》的有关规定处理。</w:t>
      </w:r>
    </w:p>
    <w:p w14:paraId="3725DDC4"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第二十三条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非期货公司会员和客户在申请套期保值交易资格，申请增加套期保值持仓额度和交易时，有欺诈或违反交易所规定行为的，交易所可以不受理其增加套期保值持仓额度的申请、调整或者取消已批准的套期保值持仓增加额度、取消其套期保值交易资格，必要时可以采取限制开仓、限期平仓、强行平仓等处置措施，并按《大连商品交易所违规处理办法》的有关规定处理。</w:t>
      </w:r>
    </w:p>
    <w:p w14:paraId="42B98C88" w14:textId="77777777" w:rsidR="00726163" w:rsidRPr="00DA4CEB" w:rsidRDefault="00726163" w:rsidP="003E3461">
      <w:pPr>
        <w:shd w:val="clear" w:color="auto" w:fill="FFFFFF"/>
        <w:jc w:val="center"/>
        <w:rPr>
          <w:rFonts w:ascii="黑体" w:eastAsia="黑体" w:hAnsi="黑体"/>
          <w:color w:val="333333"/>
          <w:kern w:val="0"/>
          <w:sz w:val="32"/>
          <w:szCs w:val="32"/>
        </w:rPr>
      </w:pPr>
      <w:r w:rsidRPr="00DA4CEB">
        <w:rPr>
          <w:rFonts w:ascii="黑体" w:eastAsia="黑体" w:hAnsi="黑体"/>
          <w:color w:val="333333"/>
          <w:kern w:val="0"/>
          <w:sz w:val="32"/>
          <w:szCs w:val="32"/>
        </w:rPr>
        <w:t>第五章</w:t>
      </w:r>
      <w:r w:rsidRPr="00DA4CEB">
        <w:rPr>
          <w:rFonts w:ascii="Calibri" w:eastAsia="黑体" w:hAnsi="Calibri" w:cs="Calibri"/>
          <w:color w:val="333333"/>
          <w:kern w:val="0"/>
          <w:sz w:val="32"/>
          <w:szCs w:val="32"/>
        </w:rPr>
        <w:t> </w:t>
      </w:r>
      <w:r w:rsidRPr="00DA4CEB">
        <w:rPr>
          <w:rFonts w:ascii="黑体" w:eastAsia="黑体" w:hAnsi="黑体"/>
          <w:color w:val="333333"/>
          <w:kern w:val="0"/>
          <w:sz w:val="32"/>
          <w:szCs w:val="32"/>
        </w:rPr>
        <w:t xml:space="preserve"> 附 则</w:t>
      </w:r>
    </w:p>
    <w:p w14:paraId="63511F8F"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第二十四条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本办法解释权属于大连商品交易所。</w:t>
      </w:r>
    </w:p>
    <w:p w14:paraId="3A34AF34" w14:textId="77777777" w:rsidR="00726163" w:rsidRPr="00726163" w:rsidRDefault="00726163" w:rsidP="003E3461">
      <w:pPr>
        <w:shd w:val="clear" w:color="auto" w:fill="FFFFFF"/>
        <w:rPr>
          <w:rFonts w:ascii="Times New Roman" w:eastAsia="仿宋_GB2312" w:hAnsi="Times New Roman"/>
          <w:color w:val="333333"/>
          <w:kern w:val="0"/>
          <w:sz w:val="30"/>
          <w:szCs w:val="30"/>
        </w:rPr>
      </w:pPr>
      <w:r w:rsidRPr="00726163">
        <w:rPr>
          <w:rFonts w:ascii="Times New Roman" w:eastAsia="仿宋_GB2312" w:hAnsi="Times New Roman"/>
          <w:color w:val="333333"/>
          <w:kern w:val="0"/>
          <w:sz w:val="30"/>
          <w:szCs w:val="30"/>
        </w:rPr>
        <w:t xml:space="preserve">　　第二十五条</w:t>
      </w:r>
      <w:r w:rsidRPr="00726163">
        <w:rPr>
          <w:rFonts w:ascii="Times New Roman" w:eastAsia="仿宋_GB2312" w:hAnsi="Times New Roman"/>
          <w:color w:val="333333"/>
          <w:kern w:val="0"/>
          <w:sz w:val="30"/>
          <w:szCs w:val="30"/>
        </w:rPr>
        <w:t xml:space="preserve">  </w:t>
      </w:r>
      <w:r w:rsidRPr="00726163">
        <w:rPr>
          <w:rFonts w:ascii="Times New Roman" w:eastAsia="仿宋_GB2312" w:hAnsi="Times New Roman"/>
          <w:color w:val="333333"/>
          <w:kern w:val="0"/>
          <w:sz w:val="30"/>
          <w:szCs w:val="30"/>
        </w:rPr>
        <w:t>本办法自公布之日起实施。</w:t>
      </w:r>
    </w:p>
    <w:p w14:paraId="12323A35"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sectPr w:rsidR="00726163" w:rsidRPr="00726163">
          <w:pgSz w:w="11906" w:h="16838"/>
          <w:pgMar w:top="1440" w:right="1800" w:bottom="1440" w:left="1800" w:header="851" w:footer="992" w:gutter="0"/>
          <w:cols w:space="425"/>
          <w:docGrid w:type="lines" w:linePitch="312"/>
        </w:sectPr>
      </w:pPr>
    </w:p>
    <w:p w14:paraId="2BEFAE57" w14:textId="73DB1C63" w:rsidR="00726163" w:rsidRPr="00726163" w:rsidRDefault="00726163" w:rsidP="003E3461">
      <w:pPr>
        <w:spacing w:line="580" w:lineRule="exact"/>
        <w:jc w:val="left"/>
        <w:rPr>
          <w:rFonts w:ascii="Times New Roman" w:eastAsia="仿宋_GB2312" w:hAnsi="Times New Roman"/>
          <w:sz w:val="32"/>
          <w:szCs w:val="32"/>
        </w:rPr>
      </w:pPr>
      <w:r w:rsidRPr="00726163">
        <w:rPr>
          <w:rFonts w:ascii="Times New Roman" w:eastAsia="仿宋_GB2312" w:hAnsi="Times New Roman"/>
          <w:sz w:val="32"/>
          <w:szCs w:val="32"/>
        </w:rPr>
        <w:t>附件</w:t>
      </w:r>
      <w:r w:rsidRPr="00726163">
        <w:rPr>
          <w:rFonts w:ascii="Times New Roman" w:eastAsia="仿宋_GB2312" w:hAnsi="Times New Roman"/>
          <w:sz w:val="32"/>
          <w:szCs w:val="32"/>
        </w:rPr>
        <w:t>6</w:t>
      </w:r>
      <w:r w:rsidR="00DA4CEB">
        <w:rPr>
          <w:rFonts w:ascii="Times New Roman" w:eastAsia="仿宋_GB2312" w:hAnsi="Times New Roman" w:hint="eastAsia"/>
          <w:sz w:val="32"/>
          <w:szCs w:val="32"/>
        </w:rPr>
        <w:t>：</w:t>
      </w:r>
    </w:p>
    <w:p w14:paraId="25000418" w14:textId="77777777" w:rsidR="00726163" w:rsidRPr="00726163" w:rsidRDefault="00726163" w:rsidP="003E3461">
      <w:pPr>
        <w:spacing w:line="580" w:lineRule="exact"/>
        <w:jc w:val="left"/>
        <w:rPr>
          <w:rFonts w:ascii="Times New Roman" w:eastAsia="仿宋_GB2312" w:hAnsi="Times New Roman"/>
          <w:sz w:val="32"/>
          <w:szCs w:val="32"/>
        </w:rPr>
      </w:pPr>
    </w:p>
    <w:p w14:paraId="0CA9C0F2" w14:textId="77777777" w:rsidR="00726163" w:rsidRPr="00726163" w:rsidRDefault="00726163" w:rsidP="003E3461">
      <w:pPr>
        <w:spacing w:line="580" w:lineRule="exact"/>
        <w:jc w:val="center"/>
        <w:rPr>
          <w:rFonts w:ascii="Times New Roman" w:eastAsia="宋体" w:hAnsi="Times New Roman"/>
          <w:b/>
          <w:sz w:val="44"/>
          <w:szCs w:val="44"/>
          <w:shd w:val="clear" w:color="auto" w:fill="FFFFFF"/>
        </w:rPr>
      </w:pPr>
      <w:r w:rsidRPr="00726163">
        <w:rPr>
          <w:rFonts w:ascii="Times New Roman" w:eastAsia="宋体" w:hAnsi="Times New Roman"/>
          <w:b/>
          <w:sz w:val="44"/>
          <w:szCs w:val="44"/>
          <w:shd w:val="clear" w:color="auto" w:fill="FFFFFF"/>
        </w:rPr>
        <w:t>大连商品交易所液化石油气期货业务细则</w:t>
      </w:r>
    </w:p>
    <w:p w14:paraId="675BCE8A" w14:textId="77777777" w:rsidR="00726163" w:rsidRPr="00726163" w:rsidRDefault="00726163" w:rsidP="003E3461">
      <w:pPr>
        <w:spacing w:line="580" w:lineRule="exact"/>
        <w:ind w:firstLineChars="200" w:firstLine="640"/>
        <w:jc w:val="left"/>
        <w:rPr>
          <w:rFonts w:ascii="Times New Roman" w:eastAsia="仿宋_GB2312" w:hAnsi="Times New Roman"/>
          <w:sz w:val="32"/>
          <w:szCs w:val="32"/>
        </w:rPr>
      </w:pPr>
    </w:p>
    <w:p w14:paraId="480F810A" w14:textId="77777777" w:rsidR="00726163" w:rsidRPr="00726163" w:rsidRDefault="00726163" w:rsidP="003E3461">
      <w:pPr>
        <w:spacing w:line="580" w:lineRule="exact"/>
        <w:jc w:val="center"/>
        <w:rPr>
          <w:rFonts w:ascii="Times New Roman" w:eastAsia="黑体" w:hAnsi="Times New Roman"/>
          <w:sz w:val="32"/>
          <w:szCs w:val="32"/>
        </w:rPr>
      </w:pPr>
      <w:r w:rsidRPr="00726163">
        <w:rPr>
          <w:rFonts w:ascii="Times New Roman" w:eastAsia="黑体" w:hAnsi="Times New Roman"/>
          <w:sz w:val="32"/>
          <w:szCs w:val="32"/>
        </w:rPr>
        <w:t>第一章</w:t>
      </w:r>
      <w:r w:rsidRPr="00726163">
        <w:rPr>
          <w:rFonts w:ascii="Times New Roman" w:eastAsia="黑体" w:hAnsi="Times New Roman"/>
          <w:sz w:val="32"/>
          <w:szCs w:val="32"/>
        </w:rPr>
        <w:t xml:space="preserve"> </w:t>
      </w:r>
      <w:r w:rsidRPr="00726163">
        <w:rPr>
          <w:rFonts w:ascii="Times New Roman" w:eastAsia="黑体" w:hAnsi="Times New Roman"/>
          <w:sz w:val="32"/>
          <w:szCs w:val="32"/>
        </w:rPr>
        <w:t>总则</w:t>
      </w:r>
    </w:p>
    <w:p w14:paraId="15D62E9B"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第一条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为规范大连商品交易所（以下简称交易所）液化石油气期货合约交易行为，根据《大连商品交易所交易规则》和《大连商品交易所液化石油气期货合约》，制定本细则。</w:t>
      </w:r>
    </w:p>
    <w:p w14:paraId="54C6BF3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交易所、会员、客户、指定交割仓库、指定质量检验机构、指定期货保证金存管银行及期货市场其他参与者应当遵守本细则。</w:t>
      </w:r>
    </w:p>
    <w:p w14:paraId="67A2385B"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本细则未规定的，按照交易所相关业务规则的规定执行。</w:t>
      </w:r>
    </w:p>
    <w:p w14:paraId="5558EEAC" w14:textId="77777777" w:rsidR="00726163" w:rsidRPr="00726163" w:rsidRDefault="00726163" w:rsidP="003E3461">
      <w:pPr>
        <w:spacing w:line="580" w:lineRule="exact"/>
        <w:jc w:val="center"/>
        <w:rPr>
          <w:rFonts w:ascii="Times New Roman" w:eastAsia="黑体" w:hAnsi="Times New Roman"/>
          <w:sz w:val="32"/>
          <w:szCs w:val="32"/>
        </w:rPr>
      </w:pPr>
      <w:r w:rsidRPr="00726163">
        <w:rPr>
          <w:rFonts w:ascii="Times New Roman" w:eastAsia="黑体" w:hAnsi="Times New Roman"/>
          <w:sz w:val="32"/>
          <w:szCs w:val="32"/>
        </w:rPr>
        <w:t>第二章</w:t>
      </w:r>
      <w:r w:rsidRPr="00726163">
        <w:rPr>
          <w:rFonts w:ascii="Times New Roman" w:eastAsia="黑体" w:hAnsi="Times New Roman"/>
          <w:sz w:val="32"/>
          <w:szCs w:val="32"/>
        </w:rPr>
        <w:t xml:space="preserve"> </w:t>
      </w:r>
      <w:r w:rsidRPr="00726163">
        <w:rPr>
          <w:rFonts w:ascii="Times New Roman" w:eastAsia="黑体" w:hAnsi="Times New Roman"/>
          <w:sz w:val="32"/>
          <w:szCs w:val="32"/>
        </w:rPr>
        <w:t>合约主要条款和相关参数</w:t>
      </w:r>
    </w:p>
    <w:p w14:paraId="4FC920BD"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第四条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液化石油气期货合约交割标准品、替代品的质量标准和质量升贴水详见附件</w:t>
      </w:r>
      <w:r w:rsidRPr="00726163">
        <w:rPr>
          <w:rFonts w:ascii="Times New Roman" w:eastAsia="仿宋_GB2312" w:hAnsi="Times New Roman"/>
          <w:sz w:val="32"/>
          <w:szCs w:val="32"/>
        </w:rPr>
        <w:t>1</w:t>
      </w:r>
      <w:r w:rsidRPr="00726163">
        <w:rPr>
          <w:rFonts w:ascii="Times New Roman" w:eastAsia="仿宋_GB2312" w:hAnsi="Times New Roman"/>
          <w:sz w:val="32"/>
          <w:szCs w:val="32"/>
        </w:rPr>
        <w:t>《大连商品交易所液化石油气交割质量标准（</w:t>
      </w:r>
      <w:r w:rsidRPr="00726163">
        <w:rPr>
          <w:rFonts w:ascii="Times New Roman" w:eastAsia="仿宋_GB2312" w:hAnsi="Times New Roman"/>
          <w:sz w:val="32"/>
          <w:szCs w:val="32"/>
        </w:rPr>
        <w:t>F/DCE PG001-2020</w:t>
      </w:r>
      <w:r w:rsidRPr="00726163">
        <w:rPr>
          <w:rFonts w:ascii="Times New Roman" w:eastAsia="仿宋_GB2312" w:hAnsi="Times New Roman"/>
          <w:sz w:val="32"/>
          <w:szCs w:val="32"/>
        </w:rPr>
        <w:t>）》。</w:t>
      </w:r>
    </w:p>
    <w:p w14:paraId="71F9CDD8"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第五条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液化石油气期货合约采用实物交割。</w:t>
      </w:r>
    </w:p>
    <w:p w14:paraId="175AD9D9"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第六条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液化石油气指定交割仓库分为基准交割仓库和非基准交割仓库（详见附件</w:t>
      </w:r>
      <w:r w:rsidRPr="00726163">
        <w:rPr>
          <w:rFonts w:ascii="Times New Roman" w:eastAsia="仿宋_GB2312" w:hAnsi="Times New Roman"/>
          <w:sz w:val="32"/>
          <w:szCs w:val="32"/>
        </w:rPr>
        <w:t>2</w:t>
      </w:r>
      <w:r w:rsidRPr="00726163">
        <w:rPr>
          <w:rFonts w:ascii="Times New Roman" w:eastAsia="仿宋_GB2312" w:hAnsi="Times New Roman"/>
          <w:sz w:val="32"/>
          <w:szCs w:val="32"/>
        </w:rPr>
        <w:t>《大连商品交易所液化石油气指定交割仓库名录》</w:t>
      </w:r>
      <w:r w:rsidRPr="00726163">
        <w:rPr>
          <w:rFonts w:ascii="Times New Roman" w:eastAsia="仿宋_GB2312" w:hAnsi="Times New Roman"/>
          <w:sz w:val="32"/>
          <w:szCs w:val="32"/>
        </w:rPr>
        <w:t>),</w:t>
      </w:r>
      <w:r w:rsidRPr="00726163">
        <w:rPr>
          <w:rFonts w:ascii="Times New Roman" w:eastAsia="仿宋_GB2312" w:hAnsi="Times New Roman"/>
          <w:sz w:val="32"/>
          <w:szCs w:val="32"/>
        </w:rPr>
        <w:t>交易所可视情况对液化石油气指定交割仓库进行调整。</w:t>
      </w:r>
    </w:p>
    <w:p w14:paraId="13640F69"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第七条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液化石油气期货合约的合约月份为</w:t>
      </w:r>
      <w:r w:rsidRPr="00726163">
        <w:rPr>
          <w:rFonts w:ascii="Times New Roman" w:eastAsia="仿宋_GB2312" w:hAnsi="Times New Roman"/>
          <w:sz w:val="32"/>
          <w:szCs w:val="32"/>
        </w:rPr>
        <w:t>1</w:t>
      </w:r>
      <w:r w:rsidRPr="00726163">
        <w:rPr>
          <w:rFonts w:ascii="Times New Roman" w:eastAsia="仿宋_GB2312" w:hAnsi="Times New Roman"/>
          <w:sz w:val="32"/>
          <w:szCs w:val="32"/>
        </w:rPr>
        <w:t>、</w:t>
      </w:r>
      <w:r w:rsidRPr="00726163">
        <w:rPr>
          <w:rFonts w:ascii="Times New Roman" w:eastAsia="仿宋_GB2312" w:hAnsi="Times New Roman"/>
          <w:sz w:val="32"/>
          <w:szCs w:val="32"/>
        </w:rPr>
        <w:t>2</w:t>
      </w:r>
      <w:r w:rsidRPr="00726163">
        <w:rPr>
          <w:rFonts w:ascii="Times New Roman" w:eastAsia="仿宋_GB2312" w:hAnsi="Times New Roman"/>
          <w:sz w:val="32"/>
          <w:szCs w:val="32"/>
        </w:rPr>
        <w:t>、</w:t>
      </w:r>
      <w:r w:rsidRPr="00726163">
        <w:rPr>
          <w:rFonts w:ascii="Times New Roman" w:eastAsia="仿宋_GB2312" w:hAnsi="Times New Roman"/>
          <w:sz w:val="32"/>
          <w:szCs w:val="32"/>
        </w:rPr>
        <w:t>3</w:t>
      </w:r>
      <w:r w:rsidRPr="00726163">
        <w:rPr>
          <w:rFonts w:ascii="Times New Roman" w:eastAsia="仿宋_GB2312" w:hAnsi="Times New Roman"/>
          <w:sz w:val="32"/>
          <w:szCs w:val="32"/>
        </w:rPr>
        <w:t>、</w:t>
      </w:r>
      <w:r w:rsidRPr="00726163">
        <w:rPr>
          <w:rFonts w:ascii="Times New Roman" w:eastAsia="仿宋_GB2312" w:hAnsi="Times New Roman"/>
          <w:sz w:val="32"/>
          <w:szCs w:val="32"/>
        </w:rPr>
        <w:t>4</w:t>
      </w:r>
      <w:r w:rsidRPr="00726163">
        <w:rPr>
          <w:rFonts w:ascii="Times New Roman" w:eastAsia="仿宋_GB2312" w:hAnsi="Times New Roman"/>
          <w:sz w:val="32"/>
          <w:szCs w:val="32"/>
        </w:rPr>
        <w:t>、</w:t>
      </w:r>
      <w:r w:rsidRPr="00726163">
        <w:rPr>
          <w:rFonts w:ascii="Times New Roman" w:eastAsia="仿宋_GB2312" w:hAnsi="Times New Roman"/>
          <w:sz w:val="32"/>
          <w:szCs w:val="32"/>
        </w:rPr>
        <w:t>5</w:t>
      </w:r>
      <w:r w:rsidRPr="00726163">
        <w:rPr>
          <w:rFonts w:ascii="Times New Roman" w:eastAsia="仿宋_GB2312" w:hAnsi="Times New Roman"/>
          <w:sz w:val="32"/>
          <w:szCs w:val="32"/>
        </w:rPr>
        <w:t>、</w:t>
      </w:r>
      <w:r w:rsidRPr="00726163">
        <w:rPr>
          <w:rFonts w:ascii="Times New Roman" w:eastAsia="仿宋_GB2312" w:hAnsi="Times New Roman"/>
          <w:sz w:val="32"/>
          <w:szCs w:val="32"/>
        </w:rPr>
        <w:t>6</w:t>
      </w:r>
      <w:r w:rsidRPr="00726163">
        <w:rPr>
          <w:rFonts w:ascii="Times New Roman" w:eastAsia="仿宋_GB2312" w:hAnsi="Times New Roman"/>
          <w:sz w:val="32"/>
          <w:szCs w:val="32"/>
        </w:rPr>
        <w:t>、</w:t>
      </w:r>
      <w:r w:rsidRPr="00726163">
        <w:rPr>
          <w:rFonts w:ascii="Times New Roman" w:eastAsia="仿宋_GB2312" w:hAnsi="Times New Roman"/>
          <w:sz w:val="32"/>
          <w:szCs w:val="32"/>
        </w:rPr>
        <w:t>7</w:t>
      </w:r>
      <w:r w:rsidRPr="00726163">
        <w:rPr>
          <w:rFonts w:ascii="Times New Roman" w:eastAsia="仿宋_GB2312" w:hAnsi="Times New Roman"/>
          <w:sz w:val="32"/>
          <w:szCs w:val="32"/>
        </w:rPr>
        <w:t>、</w:t>
      </w:r>
      <w:r w:rsidRPr="00726163">
        <w:rPr>
          <w:rFonts w:ascii="Times New Roman" w:eastAsia="仿宋_GB2312" w:hAnsi="Times New Roman"/>
          <w:sz w:val="32"/>
          <w:szCs w:val="32"/>
        </w:rPr>
        <w:t>8</w:t>
      </w:r>
      <w:r w:rsidRPr="00726163">
        <w:rPr>
          <w:rFonts w:ascii="Times New Roman" w:eastAsia="仿宋_GB2312" w:hAnsi="Times New Roman"/>
          <w:sz w:val="32"/>
          <w:szCs w:val="32"/>
        </w:rPr>
        <w:t>、</w:t>
      </w:r>
      <w:r w:rsidRPr="00726163">
        <w:rPr>
          <w:rFonts w:ascii="Times New Roman" w:eastAsia="仿宋_GB2312" w:hAnsi="Times New Roman"/>
          <w:sz w:val="32"/>
          <w:szCs w:val="32"/>
        </w:rPr>
        <w:t>9</w:t>
      </w:r>
      <w:r w:rsidRPr="00726163">
        <w:rPr>
          <w:rFonts w:ascii="Times New Roman" w:eastAsia="仿宋_GB2312" w:hAnsi="Times New Roman"/>
          <w:sz w:val="32"/>
          <w:szCs w:val="32"/>
        </w:rPr>
        <w:t>、</w:t>
      </w:r>
      <w:r w:rsidRPr="00726163">
        <w:rPr>
          <w:rFonts w:ascii="Times New Roman" w:eastAsia="仿宋_GB2312" w:hAnsi="Times New Roman"/>
          <w:sz w:val="32"/>
          <w:szCs w:val="32"/>
        </w:rPr>
        <w:t>10</w:t>
      </w:r>
      <w:r w:rsidRPr="00726163">
        <w:rPr>
          <w:rFonts w:ascii="Times New Roman" w:eastAsia="仿宋_GB2312" w:hAnsi="Times New Roman"/>
          <w:sz w:val="32"/>
          <w:szCs w:val="32"/>
        </w:rPr>
        <w:t>、</w:t>
      </w:r>
      <w:r w:rsidRPr="00726163">
        <w:rPr>
          <w:rFonts w:ascii="Times New Roman" w:eastAsia="仿宋_GB2312" w:hAnsi="Times New Roman"/>
          <w:sz w:val="32"/>
          <w:szCs w:val="32"/>
        </w:rPr>
        <w:t>11</w:t>
      </w:r>
      <w:r w:rsidRPr="00726163">
        <w:rPr>
          <w:rFonts w:ascii="Times New Roman" w:eastAsia="仿宋_GB2312" w:hAnsi="Times New Roman"/>
          <w:sz w:val="32"/>
          <w:szCs w:val="32"/>
        </w:rPr>
        <w:t>、</w:t>
      </w:r>
      <w:r w:rsidRPr="00726163">
        <w:rPr>
          <w:rFonts w:ascii="Times New Roman" w:eastAsia="仿宋_GB2312" w:hAnsi="Times New Roman"/>
          <w:sz w:val="32"/>
          <w:szCs w:val="32"/>
        </w:rPr>
        <w:t>12</w:t>
      </w:r>
      <w:r w:rsidRPr="00726163">
        <w:rPr>
          <w:rFonts w:ascii="Times New Roman" w:eastAsia="仿宋_GB2312" w:hAnsi="Times New Roman"/>
          <w:sz w:val="32"/>
          <w:szCs w:val="32"/>
        </w:rPr>
        <w:t>月。</w:t>
      </w:r>
    </w:p>
    <w:p w14:paraId="00AFDDC1"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第八条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液化石油气期货合约的交易单位为</w:t>
      </w:r>
      <w:r w:rsidRPr="00726163">
        <w:rPr>
          <w:rFonts w:ascii="Times New Roman" w:eastAsia="仿宋_GB2312" w:hAnsi="Times New Roman"/>
          <w:sz w:val="32"/>
          <w:szCs w:val="32"/>
        </w:rPr>
        <w:t>20</w:t>
      </w:r>
      <w:r w:rsidRPr="00726163">
        <w:rPr>
          <w:rFonts w:ascii="Times New Roman" w:eastAsia="仿宋_GB2312" w:hAnsi="Times New Roman"/>
          <w:sz w:val="32"/>
          <w:szCs w:val="32"/>
        </w:rPr>
        <w:t>吨</w:t>
      </w:r>
      <w:r w:rsidRPr="00726163">
        <w:rPr>
          <w:rFonts w:ascii="Times New Roman" w:eastAsia="仿宋_GB2312" w:hAnsi="Times New Roman"/>
          <w:sz w:val="32"/>
          <w:szCs w:val="32"/>
        </w:rPr>
        <w:t>/</w:t>
      </w:r>
      <w:r w:rsidRPr="00726163">
        <w:rPr>
          <w:rFonts w:ascii="Times New Roman" w:eastAsia="仿宋_GB2312" w:hAnsi="Times New Roman"/>
          <w:sz w:val="32"/>
          <w:szCs w:val="32"/>
        </w:rPr>
        <w:t>手。</w:t>
      </w:r>
    </w:p>
    <w:p w14:paraId="75DAE7D6"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第九条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液化石油气期货合约的报价单位为元（人民币）</w:t>
      </w:r>
      <w:r w:rsidRPr="00726163">
        <w:rPr>
          <w:rFonts w:ascii="Times New Roman" w:eastAsia="仿宋_GB2312" w:hAnsi="Times New Roman"/>
          <w:sz w:val="32"/>
          <w:szCs w:val="32"/>
        </w:rPr>
        <w:t>/</w:t>
      </w:r>
      <w:r w:rsidRPr="00726163">
        <w:rPr>
          <w:rFonts w:ascii="Times New Roman" w:eastAsia="仿宋_GB2312" w:hAnsi="Times New Roman"/>
          <w:sz w:val="32"/>
          <w:szCs w:val="32"/>
        </w:rPr>
        <w:t>吨。</w:t>
      </w:r>
    </w:p>
    <w:p w14:paraId="69FCFBD2"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液化石油气期货合约的最小变动价位为</w:t>
      </w:r>
      <w:r w:rsidRPr="00726163">
        <w:rPr>
          <w:rFonts w:ascii="Times New Roman" w:eastAsia="仿宋_GB2312" w:hAnsi="Times New Roman"/>
          <w:sz w:val="32"/>
          <w:szCs w:val="32"/>
        </w:rPr>
        <w:t>1</w:t>
      </w:r>
      <w:r w:rsidRPr="00726163">
        <w:rPr>
          <w:rFonts w:ascii="Times New Roman" w:eastAsia="仿宋_GB2312" w:hAnsi="Times New Roman"/>
          <w:sz w:val="32"/>
          <w:szCs w:val="32"/>
        </w:rPr>
        <w:t>元</w:t>
      </w:r>
      <w:r w:rsidRPr="00726163">
        <w:rPr>
          <w:rFonts w:ascii="Times New Roman" w:eastAsia="仿宋_GB2312" w:hAnsi="Times New Roman"/>
          <w:sz w:val="32"/>
          <w:szCs w:val="32"/>
        </w:rPr>
        <w:t>/</w:t>
      </w:r>
      <w:r w:rsidRPr="00726163">
        <w:rPr>
          <w:rFonts w:ascii="Times New Roman" w:eastAsia="仿宋_GB2312" w:hAnsi="Times New Roman"/>
          <w:sz w:val="32"/>
          <w:szCs w:val="32"/>
        </w:rPr>
        <w:t>吨。</w:t>
      </w:r>
    </w:p>
    <w:p w14:paraId="29558F11"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第十一条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液化石油气期货合约的交易指令每次最大下单数量为</w:t>
      </w:r>
      <w:r w:rsidRPr="00726163">
        <w:rPr>
          <w:rFonts w:ascii="Times New Roman" w:eastAsia="仿宋_GB2312" w:hAnsi="Times New Roman"/>
          <w:sz w:val="32"/>
          <w:szCs w:val="32"/>
        </w:rPr>
        <w:t>1000</w:t>
      </w:r>
      <w:r w:rsidRPr="00726163">
        <w:rPr>
          <w:rFonts w:ascii="Times New Roman" w:eastAsia="仿宋_GB2312" w:hAnsi="Times New Roman"/>
          <w:sz w:val="32"/>
          <w:szCs w:val="32"/>
        </w:rPr>
        <w:t>手。</w:t>
      </w:r>
    </w:p>
    <w:p w14:paraId="525E489B"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第十二条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液化石油气期货合约的交易保证金标准、涨跌停板幅度和持仓限额，按照《大连商品交易所风险管理办法》相关规定执行。</w:t>
      </w:r>
    </w:p>
    <w:p w14:paraId="06143C74"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第十三条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液化石油气期货合约的最后交易日为合约月份倒数第</w:t>
      </w:r>
      <w:r w:rsidRPr="00726163">
        <w:rPr>
          <w:rFonts w:ascii="Times New Roman" w:eastAsia="仿宋_GB2312" w:hAnsi="Times New Roman"/>
          <w:sz w:val="32"/>
          <w:szCs w:val="32"/>
        </w:rPr>
        <w:t>4</w:t>
      </w:r>
      <w:r w:rsidRPr="00726163">
        <w:rPr>
          <w:rFonts w:ascii="Times New Roman" w:eastAsia="仿宋_GB2312" w:hAnsi="Times New Roman"/>
          <w:sz w:val="32"/>
          <w:szCs w:val="32"/>
        </w:rPr>
        <w:t>个交易日。</w:t>
      </w:r>
    </w:p>
    <w:p w14:paraId="515FCEF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第十四条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液化石油气期货合约的最后交割日为最后交易日后第</w:t>
      </w:r>
      <w:r w:rsidRPr="00726163">
        <w:rPr>
          <w:rFonts w:ascii="Times New Roman" w:eastAsia="仿宋_GB2312" w:hAnsi="Times New Roman"/>
          <w:sz w:val="32"/>
          <w:szCs w:val="32"/>
        </w:rPr>
        <w:t>3</w:t>
      </w:r>
      <w:r w:rsidRPr="00726163">
        <w:rPr>
          <w:rFonts w:ascii="Times New Roman" w:eastAsia="仿宋_GB2312" w:hAnsi="Times New Roman"/>
          <w:sz w:val="32"/>
          <w:szCs w:val="32"/>
        </w:rPr>
        <w:t>个交易日。</w:t>
      </w:r>
    </w:p>
    <w:p w14:paraId="63937C4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第十五条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液化石油气期货合约的交易代码为</w:t>
      </w:r>
      <w:r w:rsidRPr="00726163">
        <w:rPr>
          <w:rFonts w:ascii="Times New Roman" w:eastAsia="仿宋_GB2312" w:hAnsi="Times New Roman"/>
          <w:sz w:val="32"/>
          <w:szCs w:val="32"/>
        </w:rPr>
        <w:t>PG</w:t>
      </w:r>
      <w:r w:rsidRPr="00726163">
        <w:rPr>
          <w:rFonts w:ascii="Times New Roman" w:eastAsia="仿宋_GB2312" w:hAnsi="Times New Roman"/>
          <w:sz w:val="32"/>
          <w:szCs w:val="32"/>
        </w:rPr>
        <w:t>。</w:t>
      </w:r>
    </w:p>
    <w:p w14:paraId="2C135928" w14:textId="77777777" w:rsidR="00726163" w:rsidRPr="00726163" w:rsidRDefault="00726163" w:rsidP="003E3461">
      <w:pPr>
        <w:spacing w:line="580" w:lineRule="exact"/>
        <w:jc w:val="center"/>
        <w:rPr>
          <w:rFonts w:ascii="Times New Roman" w:eastAsia="黑体" w:hAnsi="Times New Roman"/>
          <w:sz w:val="32"/>
          <w:szCs w:val="32"/>
        </w:rPr>
      </w:pPr>
      <w:r w:rsidRPr="00726163">
        <w:rPr>
          <w:rFonts w:ascii="Times New Roman" w:eastAsia="黑体" w:hAnsi="Times New Roman"/>
          <w:sz w:val="32"/>
          <w:szCs w:val="32"/>
        </w:rPr>
        <w:t>第三章</w:t>
      </w:r>
      <w:r w:rsidRPr="00726163">
        <w:rPr>
          <w:rFonts w:ascii="Times New Roman" w:eastAsia="黑体" w:hAnsi="Times New Roman"/>
          <w:sz w:val="32"/>
          <w:szCs w:val="32"/>
        </w:rPr>
        <w:t xml:space="preserve"> </w:t>
      </w:r>
      <w:r w:rsidRPr="00726163">
        <w:rPr>
          <w:rFonts w:ascii="Times New Roman" w:eastAsia="黑体" w:hAnsi="Times New Roman"/>
          <w:sz w:val="32"/>
          <w:szCs w:val="32"/>
        </w:rPr>
        <w:t>交割与结算</w:t>
      </w:r>
    </w:p>
    <w:p w14:paraId="7D501132" w14:textId="77777777" w:rsidR="00726163" w:rsidRPr="00726163" w:rsidRDefault="00726163" w:rsidP="003E3461">
      <w:pPr>
        <w:spacing w:line="580" w:lineRule="exact"/>
        <w:jc w:val="center"/>
        <w:rPr>
          <w:rFonts w:ascii="Times New Roman" w:eastAsia="仿宋_GB2312" w:hAnsi="Times New Roman"/>
          <w:b/>
          <w:sz w:val="32"/>
          <w:szCs w:val="32"/>
        </w:rPr>
      </w:pPr>
      <w:r w:rsidRPr="00726163">
        <w:rPr>
          <w:rFonts w:ascii="Times New Roman" w:eastAsia="仿宋_GB2312" w:hAnsi="Times New Roman"/>
          <w:b/>
          <w:sz w:val="32"/>
          <w:szCs w:val="32"/>
        </w:rPr>
        <w:t>第一节</w:t>
      </w:r>
      <w:r w:rsidRPr="00726163">
        <w:rPr>
          <w:rFonts w:ascii="Times New Roman" w:eastAsia="仿宋_GB2312" w:hAnsi="Times New Roman"/>
          <w:b/>
          <w:sz w:val="32"/>
          <w:szCs w:val="32"/>
        </w:rPr>
        <w:t xml:space="preserve"> </w:t>
      </w:r>
      <w:r w:rsidRPr="00726163">
        <w:rPr>
          <w:rFonts w:ascii="Times New Roman" w:eastAsia="仿宋_GB2312" w:hAnsi="Times New Roman"/>
          <w:b/>
          <w:sz w:val="32"/>
          <w:szCs w:val="32"/>
        </w:rPr>
        <w:t>一般规定</w:t>
      </w:r>
    </w:p>
    <w:p w14:paraId="03B097D0"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第十六条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液化石油气期货合约适用期货转现货（以下简称期转现）、滚动交割和一次性交割，除本细则规定外，具体流程按照《大连商品交易所交割管理办法》、《大连商品交易所结算管理办法》相关规定执行。</w:t>
      </w:r>
    </w:p>
    <w:p w14:paraId="28BCC8BA"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第十七条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提出期转现申请的，交易双方除了按照《大连商品交易所交割管理办法》规定提交期转现相关材料，还应当提交合法有效的液化石油气生产、经营或使用资质证明。</w:t>
      </w:r>
    </w:p>
    <w:p w14:paraId="6D6D49F4"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参与滚动交割和一次性交割的，客户应当通过会员在交收日</w:t>
      </w:r>
      <w:r w:rsidRPr="00726163">
        <w:rPr>
          <w:rFonts w:ascii="Times New Roman" w:eastAsia="仿宋_GB2312" w:hAnsi="Times New Roman"/>
          <w:sz w:val="32"/>
          <w:szCs w:val="32"/>
        </w:rPr>
        <w:t>14:30</w:t>
      </w:r>
      <w:r w:rsidRPr="00726163">
        <w:rPr>
          <w:rFonts w:ascii="Times New Roman" w:eastAsia="仿宋_GB2312" w:hAnsi="Times New Roman"/>
          <w:sz w:val="32"/>
          <w:szCs w:val="32"/>
        </w:rPr>
        <w:t>前向交易所提交合法有效的液化石油气生产、经营或使用资质证明。未在规定时间内提交的，视为不具备液化石油气生产、经营或使用资质，并按照《大连商品交易所交割管理办法》相关规定处理。</w:t>
      </w:r>
    </w:p>
    <w:p w14:paraId="14BB134C"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办理标准仓单转让业务的，交易双方应当在标准仓单转让申请中，通过会员向交易所提交合法有效的液化石油气生产、经营或使用资质证明。</w:t>
      </w:r>
    </w:p>
    <w:p w14:paraId="67E0159C"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第十八条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参与滚动交割的，配对日卖方申报交割和买方申报意向按照如下规定进行：</w:t>
      </w:r>
    </w:p>
    <w:p w14:paraId="1AA9FB0F"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（一）卖方申报交割。进入交割月后，同时持有标准仓单和交割月单向卖持仓的客户可以通过会员提出交割申请，会员在交割月第一个交易日至最后交易日前一交易日，每个交易日</w:t>
      </w:r>
      <w:r w:rsidRPr="00726163">
        <w:rPr>
          <w:rFonts w:ascii="Times New Roman" w:eastAsia="仿宋_GB2312" w:hAnsi="Times New Roman"/>
          <w:sz w:val="32"/>
          <w:szCs w:val="32"/>
        </w:rPr>
        <w:t>11:30</w:t>
      </w:r>
      <w:r w:rsidRPr="00726163">
        <w:rPr>
          <w:rFonts w:ascii="Times New Roman" w:eastAsia="仿宋_GB2312" w:hAnsi="Times New Roman"/>
          <w:sz w:val="32"/>
          <w:szCs w:val="32"/>
        </w:rPr>
        <w:t>前均可向交易所申报交割。提出交割申请的相应标准仓单予以冻结，其卖持仓对应的交易保证金不再收取。交易所对上述申请进行审核，并在每个交易日</w:t>
      </w:r>
      <w:r w:rsidRPr="00726163">
        <w:rPr>
          <w:rFonts w:ascii="Times New Roman" w:eastAsia="仿宋_GB2312" w:hAnsi="Times New Roman"/>
          <w:sz w:val="32"/>
          <w:szCs w:val="32"/>
        </w:rPr>
        <w:t>13:30</w:t>
      </w:r>
      <w:r w:rsidRPr="00726163">
        <w:rPr>
          <w:rFonts w:ascii="Times New Roman" w:eastAsia="仿宋_GB2312" w:hAnsi="Times New Roman"/>
          <w:sz w:val="32"/>
          <w:szCs w:val="32"/>
        </w:rPr>
        <w:t>后公布通过审核的卖方交割申请。公布后的交割申请不得撤销，当日有效。</w:t>
      </w:r>
    </w:p>
    <w:p w14:paraId="06112BD2"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交割配对时卖方客户单向卖持仓小于卖方客户申报并通过审核数量的，交易所将禁止该客户在该品种上滚动交割的卖方申报，期限为自本次申报之日起一年。</w:t>
      </w:r>
    </w:p>
    <w:p w14:paraId="5BCAC1B2"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二）买方申报意向。持有交割月单向买持仓的买方，可以根据交易所公布的卖方交割申请，在交割月第一个交易日至最后交易日前一交易日闭市前向交易所申报两个交割意向，包括第一意向和第二意向，其优先性顺序为：对任一买方，先考虑其第一意向，第一意向未得到满足或未全部得到满足，再考虑其第二意向；对任一指定交割仓库，先考虑将其作为第一意向的买方，若有剩余标准仓单，再考虑将其作为第二意向的买方。申报意向当日有效。</w:t>
      </w:r>
    </w:p>
    <w:p w14:paraId="0C75C287"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第十九条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配对日闭市后，交易所通过系统，按照如下原则和步骤进行交割配对：</w:t>
      </w:r>
    </w:p>
    <w:p w14:paraId="1CB467FF"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第一步：汇总申报交割的标准仓单。交易所以指定交割仓库为单位汇总卖方申报交割的标准仓单。</w:t>
      </w:r>
    </w:p>
    <w:p w14:paraId="500668E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步：匹配买方和指定交割仓库。对任一指定交割仓库，若提出交割意向买方持仓数量合计小于等于其相关标准仓单数量，则所有买方意向均满足；若提出交割意向买方持仓数量合计大于其相关标准仓单数量，则按照</w:t>
      </w:r>
      <w:r w:rsidRPr="00726163">
        <w:rPr>
          <w:rFonts w:ascii="Times New Roman" w:eastAsia="仿宋_GB2312" w:hAnsi="Times New Roman"/>
          <w:sz w:val="32"/>
          <w:szCs w:val="32"/>
        </w:rPr>
        <w:t>“</w:t>
      </w:r>
      <w:r w:rsidRPr="00726163">
        <w:rPr>
          <w:rFonts w:ascii="Times New Roman" w:eastAsia="仿宋_GB2312" w:hAnsi="Times New Roman"/>
          <w:sz w:val="32"/>
          <w:szCs w:val="32"/>
        </w:rPr>
        <w:t>平均持仓时间长优先</w:t>
      </w:r>
      <w:r w:rsidRPr="00726163">
        <w:rPr>
          <w:rFonts w:ascii="Times New Roman" w:eastAsia="仿宋_GB2312" w:hAnsi="Times New Roman"/>
          <w:sz w:val="32"/>
          <w:szCs w:val="32"/>
        </w:rPr>
        <w:t>”</w:t>
      </w:r>
      <w:r w:rsidRPr="00726163">
        <w:rPr>
          <w:rFonts w:ascii="Times New Roman" w:eastAsia="仿宋_GB2312" w:hAnsi="Times New Roman"/>
          <w:sz w:val="32"/>
          <w:szCs w:val="32"/>
        </w:rPr>
        <w:t>的原则确定参与交割配对的买方。</w:t>
      </w:r>
    </w:p>
    <w:p w14:paraId="20F2E911"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其中：平均持仓时间以</w:t>
      </w:r>
      <w:r w:rsidRPr="00726163">
        <w:rPr>
          <w:rFonts w:ascii="Times New Roman" w:eastAsia="仿宋_GB2312" w:hAnsi="Times New Roman"/>
          <w:sz w:val="32"/>
          <w:szCs w:val="32"/>
        </w:rPr>
        <w:t>“</w:t>
      </w:r>
      <w:r w:rsidRPr="00726163">
        <w:rPr>
          <w:rFonts w:ascii="Times New Roman" w:eastAsia="仿宋_GB2312" w:hAnsi="Times New Roman"/>
          <w:sz w:val="32"/>
          <w:szCs w:val="32"/>
        </w:rPr>
        <w:t>天</w:t>
      </w:r>
      <w:r w:rsidRPr="00726163">
        <w:rPr>
          <w:rFonts w:ascii="Times New Roman" w:eastAsia="仿宋_GB2312" w:hAnsi="Times New Roman"/>
          <w:sz w:val="32"/>
          <w:szCs w:val="32"/>
        </w:rPr>
        <w:t>”</w:t>
      </w:r>
      <w:r w:rsidRPr="00726163">
        <w:rPr>
          <w:rFonts w:ascii="Times New Roman" w:eastAsia="仿宋_GB2312" w:hAnsi="Times New Roman"/>
          <w:sz w:val="32"/>
          <w:szCs w:val="32"/>
        </w:rPr>
        <w:t>为单位，每手持仓时间的加权平均数。平均持仓时间相同的，持有建仓时间早的买方优先。具体公式为：</w:t>
      </w:r>
    </w:p>
    <w:p w14:paraId="21E3FCC8" w14:textId="77777777" w:rsidR="00726163" w:rsidRPr="00726163" w:rsidRDefault="00726163" w:rsidP="003E3461">
      <w:pPr>
        <w:rPr>
          <w:rFonts w:ascii="Times New Roman" w:eastAsia="仿宋_GB2312" w:hAnsi="Times New Roman"/>
          <w:sz w:val="32"/>
          <w:szCs w:val="32"/>
        </w:rPr>
      </w:pPr>
      <m:oMathPara>
        <m:oMathParaPr>
          <m:jc m:val="center"/>
        </m:oMathParaPr>
        <m:oMath>
          <m:r>
            <m:rPr>
              <m:sty m:val="p"/>
            </m:rPr>
            <w:rPr>
              <w:rFonts w:ascii="Cambria Math" w:eastAsia="仿宋_GB2312" w:hAnsi="Cambria Math"/>
              <w:sz w:val="32"/>
              <w:szCs w:val="32"/>
            </w:rPr>
            <m:t>买方平均持仓时间</m:t>
          </m:r>
          <m:r>
            <m:rPr>
              <m:sty m:val="p"/>
            </m:rPr>
            <w:rPr>
              <w:rFonts w:ascii="Cambria Math" w:eastAsia="仿宋_GB2312" w:hAnsi="Cambria Math"/>
              <w:sz w:val="32"/>
              <w:szCs w:val="32"/>
            </w:rPr>
            <m:t>=</m:t>
          </m:r>
          <m:f>
            <m:fPr>
              <m:ctrlPr>
                <w:rPr>
                  <w:rFonts w:ascii="Cambria Math" w:eastAsia="仿宋_GB2312" w:hAnsi="Cambria Math"/>
                  <w:sz w:val="32"/>
                  <w:szCs w:val="32"/>
                </w:rPr>
              </m:ctrlPr>
            </m:fPr>
            <m:num>
              <m:nary>
                <m:naryPr>
                  <m:chr m:val="∑"/>
                  <m:limLoc m:val="undOvr"/>
                  <m:subHide m:val="1"/>
                  <m:supHide m:val="1"/>
                  <m:ctrlPr>
                    <w:rPr>
                      <w:rFonts w:ascii="Cambria Math" w:eastAsia="仿宋_GB2312" w:hAnsi="Cambria Math"/>
                      <w:sz w:val="32"/>
                      <w:szCs w:val="32"/>
                    </w:rPr>
                  </m:ctrlPr>
                </m:naryPr>
                <m:sub/>
                <m:sup/>
                <m:e>
                  <m:r>
                    <m:rPr>
                      <m:sty m:val="p"/>
                    </m:rPr>
                    <w:rPr>
                      <w:rFonts w:ascii="Cambria Math" w:eastAsia="仿宋_GB2312" w:hAnsi="Cambria Math"/>
                      <w:sz w:val="32"/>
                      <w:szCs w:val="32"/>
                    </w:rPr>
                    <m:t>买方每手持仓时间</m:t>
                  </m:r>
                </m:e>
              </m:nary>
            </m:num>
            <m:den>
              <m:r>
                <m:rPr>
                  <m:sty m:val="p"/>
                </m:rPr>
                <w:rPr>
                  <w:rFonts w:ascii="Cambria Math" w:eastAsia="仿宋_GB2312" w:hAnsi="Cambria Math"/>
                  <w:sz w:val="32"/>
                  <w:szCs w:val="32"/>
                </w:rPr>
                <m:t>买方总持仓量</m:t>
              </m:r>
            </m:den>
          </m:f>
        </m:oMath>
      </m:oMathPara>
    </w:p>
    <w:p w14:paraId="426542B2"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对于满足买方意向后剩余的标准仓单，交易所再按照</w:t>
      </w:r>
      <w:r w:rsidRPr="00726163">
        <w:rPr>
          <w:rFonts w:ascii="Times New Roman" w:eastAsia="仿宋_GB2312" w:hAnsi="Times New Roman"/>
          <w:sz w:val="32"/>
          <w:szCs w:val="32"/>
        </w:rPr>
        <w:t>“</w:t>
      </w:r>
      <w:r w:rsidRPr="00726163">
        <w:rPr>
          <w:rFonts w:ascii="Times New Roman" w:eastAsia="仿宋_GB2312" w:hAnsi="Times New Roman"/>
          <w:sz w:val="32"/>
          <w:szCs w:val="32"/>
        </w:rPr>
        <w:t>含有建仓时间最早的持仓优先</w:t>
      </w:r>
      <w:r w:rsidRPr="00726163">
        <w:rPr>
          <w:rFonts w:ascii="Times New Roman" w:eastAsia="仿宋_GB2312" w:hAnsi="Times New Roman"/>
          <w:sz w:val="32"/>
          <w:szCs w:val="32"/>
        </w:rPr>
        <w:t>”</w:t>
      </w:r>
      <w:r w:rsidRPr="00726163">
        <w:rPr>
          <w:rFonts w:ascii="Times New Roman" w:eastAsia="仿宋_GB2312" w:hAnsi="Times New Roman"/>
          <w:sz w:val="32"/>
          <w:szCs w:val="32"/>
        </w:rPr>
        <w:t>原则，从未提交割意向和所提意向未被满足的买方持仓中确定参与配对的买方；再按</w:t>
      </w:r>
      <w:r w:rsidRPr="00726163">
        <w:rPr>
          <w:rFonts w:ascii="Times New Roman" w:eastAsia="仿宋_GB2312" w:hAnsi="Times New Roman"/>
          <w:sz w:val="32"/>
          <w:szCs w:val="32"/>
        </w:rPr>
        <w:t>“</w:t>
      </w:r>
      <w:r w:rsidRPr="00726163">
        <w:rPr>
          <w:rFonts w:ascii="Times New Roman" w:eastAsia="仿宋_GB2312" w:hAnsi="Times New Roman"/>
          <w:sz w:val="32"/>
          <w:szCs w:val="32"/>
        </w:rPr>
        <w:t>最少配对数</w:t>
      </w:r>
      <w:r w:rsidRPr="00726163">
        <w:rPr>
          <w:rFonts w:ascii="Times New Roman" w:eastAsia="仿宋_GB2312" w:hAnsi="Times New Roman"/>
          <w:sz w:val="32"/>
          <w:szCs w:val="32"/>
        </w:rPr>
        <w:t>”</w:t>
      </w:r>
      <w:r w:rsidRPr="00726163">
        <w:rPr>
          <w:rFonts w:ascii="Times New Roman" w:eastAsia="仿宋_GB2312" w:hAnsi="Times New Roman"/>
          <w:sz w:val="32"/>
          <w:szCs w:val="32"/>
        </w:rPr>
        <w:t>原则确定买方交割对应的指定交割仓库，以及在该指定交割仓库所交割的数量。</w:t>
      </w:r>
    </w:p>
    <w:p w14:paraId="41BC8FCA"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第三步：匹配买卖双方。交易所将配好指定交割仓库的买方与持有相应标准仓单的卖方以</w:t>
      </w:r>
      <w:r w:rsidRPr="00726163">
        <w:rPr>
          <w:rFonts w:ascii="Times New Roman" w:eastAsia="仿宋_GB2312" w:hAnsi="Times New Roman"/>
          <w:sz w:val="32"/>
          <w:szCs w:val="32"/>
        </w:rPr>
        <w:t>“</w:t>
      </w:r>
      <w:r w:rsidRPr="00726163">
        <w:rPr>
          <w:rFonts w:ascii="Times New Roman" w:eastAsia="仿宋_GB2312" w:hAnsi="Times New Roman"/>
          <w:sz w:val="32"/>
          <w:szCs w:val="32"/>
        </w:rPr>
        <w:t>最少配对数</w:t>
      </w:r>
      <w:r w:rsidRPr="00726163">
        <w:rPr>
          <w:rFonts w:ascii="Times New Roman" w:eastAsia="仿宋_GB2312" w:hAnsi="Times New Roman"/>
          <w:sz w:val="32"/>
          <w:szCs w:val="32"/>
        </w:rPr>
        <w:t>”</w:t>
      </w:r>
      <w:r w:rsidRPr="00726163">
        <w:rPr>
          <w:rFonts w:ascii="Times New Roman" w:eastAsia="仿宋_GB2312" w:hAnsi="Times New Roman"/>
          <w:sz w:val="32"/>
          <w:szCs w:val="32"/>
        </w:rPr>
        <w:t>原则进行配对，确定交割对应的买卖双方。配对结果一经确定，买卖双方不得变更。</w:t>
      </w:r>
    </w:p>
    <w:p w14:paraId="79E50C26"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一次性交割的交割结算价采用该期货合约交割月最后十个交易日所有成交价格的加权平均价，若交割月不足十个交易日，交割结算价采用该期货合约自交割月第一个交易日起至最后交易日所有成交价格的加权平均价。</w:t>
      </w:r>
    </w:p>
    <w:p w14:paraId="631010DA"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第二十一条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液化石油气期货合约的交割单位为</w:t>
      </w:r>
      <w:r w:rsidRPr="00726163">
        <w:rPr>
          <w:rFonts w:ascii="Times New Roman" w:eastAsia="仿宋_GB2312" w:hAnsi="Times New Roman"/>
          <w:sz w:val="32"/>
          <w:szCs w:val="32"/>
        </w:rPr>
        <w:t>20</w:t>
      </w:r>
      <w:r w:rsidRPr="00726163">
        <w:rPr>
          <w:rFonts w:ascii="Times New Roman" w:eastAsia="仿宋_GB2312" w:hAnsi="Times New Roman"/>
          <w:sz w:val="32"/>
          <w:szCs w:val="32"/>
        </w:rPr>
        <w:t>吨。</w:t>
      </w:r>
    </w:p>
    <w:p w14:paraId="7A636F8E"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第二十二条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液化石油气标准仓单为厂库标准仓单。</w:t>
      </w:r>
    </w:p>
    <w:p w14:paraId="53BB9E29"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第二十三条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液化石油气期货合约质量升贴水的差价款由货主同指定交割仓库结算。</w:t>
      </w:r>
    </w:p>
    <w:p w14:paraId="5FAF633C"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第二十四条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液化石油气期货合约实际交割总净重不得少于标准仓单对应货物总重。</w:t>
      </w:r>
    </w:p>
    <w:p w14:paraId="667ED48E"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第二十五条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液化石油气交割开具增值税专用发票。</w:t>
      </w:r>
    </w:p>
    <w:p w14:paraId="2AAD2AAC"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第二十六条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液化石油气交割手续费为</w:t>
      </w:r>
      <w:r w:rsidRPr="00726163">
        <w:rPr>
          <w:rFonts w:ascii="Times New Roman" w:eastAsia="仿宋_GB2312" w:hAnsi="Times New Roman"/>
          <w:sz w:val="32"/>
          <w:szCs w:val="32"/>
        </w:rPr>
        <w:t>1</w:t>
      </w:r>
      <w:r w:rsidRPr="00726163">
        <w:rPr>
          <w:rFonts w:ascii="Times New Roman" w:eastAsia="仿宋_GB2312" w:hAnsi="Times New Roman"/>
          <w:sz w:val="32"/>
          <w:szCs w:val="32"/>
        </w:rPr>
        <w:t>元</w:t>
      </w:r>
      <w:r w:rsidRPr="00726163">
        <w:rPr>
          <w:rFonts w:ascii="Times New Roman" w:eastAsia="仿宋_GB2312" w:hAnsi="Times New Roman"/>
          <w:sz w:val="32"/>
          <w:szCs w:val="32"/>
        </w:rPr>
        <w:t>/</w:t>
      </w:r>
      <w:r w:rsidRPr="00726163">
        <w:rPr>
          <w:rFonts w:ascii="Times New Roman" w:eastAsia="仿宋_GB2312" w:hAnsi="Times New Roman"/>
          <w:sz w:val="32"/>
          <w:szCs w:val="32"/>
        </w:rPr>
        <w:t>吨，取样及检验收费实行最高限价，由交易所制定并公布；仓储费收取标准为</w:t>
      </w:r>
      <w:r w:rsidRPr="00726163">
        <w:rPr>
          <w:rFonts w:ascii="Times New Roman" w:eastAsia="仿宋_GB2312" w:hAnsi="Times New Roman"/>
          <w:sz w:val="32"/>
          <w:szCs w:val="32"/>
        </w:rPr>
        <w:t>1</w:t>
      </w:r>
      <w:r w:rsidRPr="00726163">
        <w:rPr>
          <w:rFonts w:ascii="Times New Roman" w:eastAsia="仿宋_GB2312" w:hAnsi="Times New Roman"/>
          <w:sz w:val="32"/>
          <w:szCs w:val="32"/>
        </w:rPr>
        <w:t>元</w:t>
      </w:r>
      <w:r w:rsidRPr="00726163">
        <w:rPr>
          <w:rFonts w:ascii="Times New Roman" w:eastAsia="仿宋_GB2312" w:hAnsi="Times New Roman"/>
          <w:sz w:val="32"/>
          <w:szCs w:val="32"/>
        </w:rPr>
        <w:t>/</w:t>
      </w:r>
      <w:r w:rsidRPr="00726163">
        <w:rPr>
          <w:rFonts w:ascii="Times New Roman" w:eastAsia="仿宋_GB2312" w:hAnsi="Times New Roman"/>
          <w:sz w:val="32"/>
          <w:szCs w:val="32"/>
        </w:rPr>
        <w:t>吨</w:t>
      </w:r>
      <w:r w:rsidRPr="00726163">
        <w:rPr>
          <w:rFonts w:ascii="Times New Roman" w:eastAsia="仿宋_GB2312" w:hAnsi="Times New Roman"/>
          <w:sz w:val="32"/>
          <w:szCs w:val="32"/>
        </w:rPr>
        <w:t>·</w:t>
      </w:r>
      <w:r w:rsidRPr="00726163">
        <w:rPr>
          <w:rFonts w:ascii="Times New Roman" w:eastAsia="仿宋_GB2312" w:hAnsi="Times New Roman"/>
          <w:sz w:val="32"/>
          <w:szCs w:val="32"/>
        </w:rPr>
        <w:t>天；无损耗费。</w:t>
      </w:r>
    </w:p>
    <w:p w14:paraId="504ACF37" w14:textId="77777777" w:rsidR="00726163" w:rsidRPr="00726163" w:rsidRDefault="00726163" w:rsidP="003E3461">
      <w:pPr>
        <w:spacing w:line="580" w:lineRule="exact"/>
        <w:jc w:val="center"/>
        <w:rPr>
          <w:rFonts w:ascii="Times New Roman" w:eastAsia="仿宋_GB2312" w:hAnsi="Times New Roman"/>
          <w:b/>
          <w:sz w:val="32"/>
          <w:szCs w:val="32"/>
        </w:rPr>
      </w:pPr>
      <w:r w:rsidRPr="00726163">
        <w:rPr>
          <w:rFonts w:ascii="Times New Roman" w:eastAsia="仿宋_GB2312" w:hAnsi="Times New Roman"/>
          <w:b/>
          <w:sz w:val="32"/>
          <w:szCs w:val="32"/>
        </w:rPr>
        <w:t>第二节</w:t>
      </w:r>
      <w:r w:rsidRPr="00726163">
        <w:rPr>
          <w:rFonts w:ascii="Times New Roman" w:eastAsia="仿宋_GB2312" w:hAnsi="Times New Roman"/>
          <w:b/>
          <w:sz w:val="32"/>
          <w:szCs w:val="32"/>
        </w:rPr>
        <w:t xml:space="preserve"> </w:t>
      </w:r>
      <w:r w:rsidRPr="00726163">
        <w:rPr>
          <w:rFonts w:ascii="Times New Roman" w:eastAsia="仿宋_GB2312" w:hAnsi="Times New Roman"/>
          <w:b/>
          <w:sz w:val="32"/>
          <w:szCs w:val="32"/>
        </w:rPr>
        <w:t>标准仓单交割</w:t>
      </w:r>
    </w:p>
    <w:p w14:paraId="60FC5CCD"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第二十七条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标准仓单生成、流通、注销等相关业务，本细则未规定的，适用《大连商品交易所标准仓单管理办法》相关规定。</w:t>
      </w:r>
    </w:p>
    <w:p w14:paraId="4C810CEC"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第二十八条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液化石油气标准仓单在每年的</w:t>
      </w:r>
      <w:r w:rsidRPr="00726163">
        <w:rPr>
          <w:rFonts w:ascii="Times New Roman" w:eastAsia="仿宋_GB2312" w:hAnsi="Times New Roman"/>
          <w:sz w:val="32"/>
          <w:szCs w:val="32"/>
        </w:rPr>
        <w:t>3</w:t>
      </w:r>
      <w:r w:rsidRPr="00726163">
        <w:rPr>
          <w:rFonts w:ascii="Times New Roman" w:eastAsia="仿宋_GB2312" w:hAnsi="Times New Roman"/>
          <w:sz w:val="32"/>
          <w:szCs w:val="32"/>
        </w:rPr>
        <w:t>月份最后</w:t>
      </w:r>
      <w:r w:rsidRPr="00726163">
        <w:rPr>
          <w:rFonts w:ascii="Times New Roman" w:eastAsia="仿宋_GB2312" w:hAnsi="Times New Roman"/>
          <w:sz w:val="32"/>
          <w:szCs w:val="32"/>
        </w:rPr>
        <w:t>1</w:t>
      </w:r>
      <w:r w:rsidRPr="00726163">
        <w:rPr>
          <w:rFonts w:ascii="Times New Roman" w:eastAsia="仿宋_GB2312" w:hAnsi="Times New Roman"/>
          <w:sz w:val="32"/>
          <w:szCs w:val="32"/>
        </w:rPr>
        <w:t>个交易日之前（含当日）应当进行标准仓单注销。</w:t>
      </w:r>
    </w:p>
    <w:p w14:paraId="0DD99B8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第二十九条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液化石油气从厂库出库时，货主应当在标准仓单注销日后（不含注销日）的</w:t>
      </w:r>
      <w:r w:rsidRPr="00726163">
        <w:rPr>
          <w:rFonts w:ascii="Times New Roman" w:eastAsia="仿宋_GB2312" w:hAnsi="Times New Roman"/>
          <w:sz w:val="32"/>
          <w:szCs w:val="32"/>
        </w:rPr>
        <w:t>7</w:t>
      </w:r>
      <w:r w:rsidRPr="00726163">
        <w:rPr>
          <w:rFonts w:ascii="Times New Roman" w:eastAsia="仿宋_GB2312" w:hAnsi="Times New Roman"/>
          <w:sz w:val="32"/>
          <w:szCs w:val="32"/>
        </w:rPr>
        <w:t>个自然日内（含当日）到厂库提货。厂库应当在标准仓单注销日后（不含注销日）的</w:t>
      </w:r>
      <w:r w:rsidRPr="00726163">
        <w:rPr>
          <w:rFonts w:ascii="Times New Roman" w:eastAsia="仿宋_GB2312" w:hAnsi="Times New Roman"/>
          <w:sz w:val="32"/>
          <w:szCs w:val="32"/>
        </w:rPr>
        <w:t>7</w:t>
      </w:r>
      <w:r w:rsidRPr="00726163">
        <w:rPr>
          <w:rFonts w:ascii="Times New Roman" w:eastAsia="仿宋_GB2312" w:hAnsi="Times New Roman"/>
          <w:sz w:val="32"/>
          <w:szCs w:val="32"/>
        </w:rPr>
        <w:t>个自然日内（含当日）开始发货。</w:t>
      </w:r>
    </w:p>
    <w:p w14:paraId="702FF25D"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厂库应当按照合约要求的交割质量标准发货，并应当向货主出具符合交易所要求的品质凭证，作为结算质量升贴水的依据。</w:t>
      </w:r>
    </w:p>
    <w:p w14:paraId="7A71CAB3"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货主有权决定是否对厂库每日出库货物进行取样，并应当在货物出库前</w:t>
      </w:r>
      <w:r w:rsidRPr="00726163">
        <w:rPr>
          <w:rFonts w:ascii="Times New Roman" w:eastAsia="仿宋_GB2312" w:hAnsi="Times New Roman"/>
          <w:sz w:val="32"/>
          <w:szCs w:val="32"/>
        </w:rPr>
        <w:t>2</w:t>
      </w:r>
      <w:r w:rsidRPr="00726163">
        <w:rPr>
          <w:rFonts w:ascii="Times New Roman" w:eastAsia="仿宋_GB2312" w:hAnsi="Times New Roman"/>
          <w:sz w:val="32"/>
          <w:szCs w:val="32"/>
        </w:rPr>
        <w:t>个自然日之前以书面形式告知厂库。因货主原因导致无法取样的，视为货主选择不取样。</w:t>
      </w:r>
    </w:p>
    <w:p w14:paraId="7A7A2B09"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若货主选择取样，货主应当在每日货物出库前</w:t>
      </w:r>
      <w:r w:rsidRPr="00726163">
        <w:rPr>
          <w:rFonts w:ascii="Times New Roman" w:eastAsia="仿宋_GB2312" w:hAnsi="Times New Roman"/>
          <w:sz w:val="32"/>
          <w:szCs w:val="32"/>
        </w:rPr>
        <w:t>2</w:t>
      </w:r>
      <w:r w:rsidRPr="00726163">
        <w:rPr>
          <w:rFonts w:ascii="Times New Roman" w:eastAsia="仿宋_GB2312" w:hAnsi="Times New Roman"/>
          <w:sz w:val="32"/>
          <w:szCs w:val="32"/>
        </w:rPr>
        <w:t>个自然日之前委托指定质量检验机构取样并支付相应费用。指定质量检验机构应当在货物出库当天到场取样，经货主、厂库确认后将样品封存，并将样品保留至样品封存日后（不含当日）第</w:t>
      </w:r>
      <w:r w:rsidRPr="00726163">
        <w:rPr>
          <w:rFonts w:ascii="Times New Roman" w:eastAsia="仿宋_GB2312" w:hAnsi="Times New Roman"/>
          <w:sz w:val="32"/>
          <w:szCs w:val="32"/>
        </w:rPr>
        <w:t>3</w:t>
      </w:r>
      <w:r w:rsidRPr="00726163">
        <w:rPr>
          <w:rFonts w:ascii="Times New Roman" w:eastAsia="仿宋_GB2312" w:hAnsi="Times New Roman"/>
          <w:sz w:val="32"/>
          <w:szCs w:val="32"/>
        </w:rPr>
        <w:t>个交易日（含当日），作为发生质量争议时的处理依据；若货主选择不取样，则视为对厂库出库货物质量无异议。</w:t>
      </w:r>
    </w:p>
    <w:p w14:paraId="3BD1FBC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第三十一条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指定质量检验机构应当在交易所认可的厂库取样点取样，每个客户每天取样数量不得超过</w:t>
      </w:r>
      <w:r w:rsidRPr="00726163">
        <w:rPr>
          <w:rFonts w:ascii="Times New Roman" w:eastAsia="仿宋_GB2312" w:hAnsi="Times New Roman"/>
          <w:sz w:val="32"/>
          <w:szCs w:val="32"/>
        </w:rPr>
        <w:t>3</w:t>
      </w:r>
      <w:r w:rsidRPr="00726163">
        <w:rPr>
          <w:rFonts w:ascii="Times New Roman" w:eastAsia="仿宋_GB2312" w:hAnsi="Times New Roman"/>
          <w:sz w:val="32"/>
          <w:szCs w:val="32"/>
        </w:rPr>
        <w:t>个。</w:t>
      </w:r>
    </w:p>
    <w:p w14:paraId="01B4860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第三十二条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厂库以不高于日发货速度向货主发货时，货主因运输能力等原因无法按时提货，货主应当向厂库支付滞纳金。滞纳金按照如下方法确定：</w:t>
      </w:r>
    </w:p>
    <w:p w14:paraId="05860BF1"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（一）从开始提货之日（含当日）起，每日按照截至当日应提而未提的商品数量乘以相应的滞纳金标准计算出当日滞纳金金额；</w:t>
      </w:r>
    </w:p>
    <w:p w14:paraId="0284D0C8"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（二）直至完成提货之日（不含当日），在加总每日滞纳金金额的基础上，计算出货主应当向厂库支付的滞纳金总额。</w:t>
      </w:r>
    </w:p>
    <w:p w14:paraId="3C4A43EA"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滞纳金标准为</w:t>
      </w:r>
      <w:r w:rsidRPr="00726163">
        <w:rPr>
          <w:rFonts w:ascii="Times New Roman" w:eastAsia="仿宋_GB2312" w:hAnsi="Times New Roman"/>
          <w:sz w:val="32"/>
          <w:szCs w:val="32"/>
        </w:rPr>
        <w:t>6</w:t>
      </w:r>
      <w:r w:rsidRPr="00726163">
        <w:rPr>
          <w:rFonts w:ascii="Times New Roman" w:eastAsia="仿宋_GB2312" w:hAnsi="Times New Roman"/>
          <w:sz w:val="32"/>
          <w:szCs w:val="32"/>
        </w:rPr>
        <w:t>元</w:t>
      </w:r>
      <w:r w:rsidRPr="00726163">
        <w:rPr>
          <w:rFonts w:ascii="Times New Roman" w:eastAsia="仿宋_GB2312" w:hAnsi="Times New Roman"/>
          <w:sz w:val="32"/>
          <w:szCs w:val="32"/>
        </w:rPr>
        <w:t>/</w:t>
      </w:r>
      <w:r w:rsidRPr="00726163">
        <w:rPr>
          <w:rFonts w:ascii="Times New Roman" w:eastAsia="仿宋_GB2312" w:hAnsi="Times New Roman"/>
          <w:sz w:val="32"/>
          <w:szCs w:val="32"/>
        </w:rPr>
        <w:t>吨</w:t>
      </w:r>
      <w:r w:rsidRPr="00726163">
        <w:rPr>
          <w:rFonts w:ascii="Times New Roman" w:eastAsia="仿宋_GB2312" w:hAnsi="Times New Roman"/>
          <w:sz w:val="32"/>
          <w:szCs w:val="32"/>
        </w:rPr>
        <w:t>·</w:t>
      </w:r>
      <w:r w:rsidRPr="00726163">
        <w:rPr>
          <w:rFonts w:ascii="Times New Roman" w:eastAsia="仿宋_GB2312" w:hAnsi="Times New Roman"/>
          <w:sz w:val="32"/>
          <w:szCs w:val="32"/>
        </w:rPr>
        <w:t>天。</w:t>
      </w:r>
    </w:p>
    <w:p w14:paraId="081C4C99"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第三十三条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在提货期限届满之日后（不含当日）且在标准仓单注销日后（不含注销日）的</w:t>
      </w:r>
      <w:r w:rsidRPr="00726163">
        <w:rPr>
          <w:rFonts w:ascii="Times New Roman" w:eastAsia="仿宋_GB2312" w:hAnsi="Times New Roman"/>
          <w:sz w:val="32"/>
          <w:szCs w:val="32"/>
        </w:rPr>
        <w:t>27</w:t>
      </w:r>
      <w:r w:rsidRPr="00726163">
        <w:rPr>
          <w:rFonts w:ascii="Times New Roman" w:eastAsia="仿宋_GB2312" w:hAnsi="Times New Roman"/>
          <w:sz w:val="32"/>
          <w:szCs w:val="32"/>
        </w:rPr>
        <w:t>个自然日内（含当日）到厂库提货，货主应当向厂库支付滞纳金，厂库仍应按照期货标准承担有关的商品质量、发货时间和发货速度的责任，直至发完全部期货商品。</w:t>
      </w:r>
    </w:p>
    <w:p w14:paraId="40B32BF9"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滞纳金按照如下方法确定：</w:t>
      </w:r>
    </w:p>
    <w:p w14:paraId="34AAD79C"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（一）从提货期限届满之日（含当日）起，每日按照截至当日应提而未提的商品数量乘以相应的滞纳金标准计算出当日滞纳金金额；</w:t>
      </w:r>
    </w:p>
    <w:p w14:paraId="191E419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（二）直至完成提货之日（不含当日），在加总每日滞纳金金额的基础上，计算出货主应当向厂库支付的滞纳金总额。</w:t>
      </w:r>
    </w:p>
    <w:p w14:paraId="38C6B6AA"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滞纳金标准为</w:t>
      </w:r>
      <w:r w:rsidRPr="00726163">
        <w:rPr>
          <w:rFonts w:ascii="Times New Roman" w:eastAsia="仿宋_GB2312" w:hAnsi="Times New Roman"/>
          <w:sz w:val="32"/>
          <w:szCs w:val="32"/>
        </w:rPr>
        <w:t>6</w:t>
      </w:r>
      <w:r w:rsidRPr="00726163">
        <w:rPr>
          <w:rFonts w:ascii="Times New Roman" w:eastAsia="仿宋_GB2312" w:hAnsi="Times New Roman"/>
          <w:sz w:val="32"/>
          <w:szCs w:val="32"/>
        </w:rPr>
        <w:t>元</w:t>
      </w:r>
      <w:r w:rsidRPr="00726163">
        <w:rPr>
          <w:rFonts w:ascii="Times New Roman" w:eastAsia="仿宋_GB2312" w:hAnsi="Times New Roman"/>
          <w:sz w:val="32"/>
          <w:szCs w:val="32"/>
        </w:rPr>
        <w:t>/</w:t>
      </w:r>
      <w:r w:rsidRPr="00726163">
        <w:rPr>
          <w:rFonts w:ascii="Times New Roman" w:eastAsia="仿宋_GB2312" w:hAnsi="Times New Roman"/>
          <w:sz w:val="32"/>
          <w:szCs w:val="32"/>
        </w:rPr>
        <w:t>吨</w:t>
      </w:r>
      <w:r w:rsidRPr="00726163">
        <w:rPr>
          <w:rFonts w:ascii="Times New Roman" w:eastAsia="仿宋_GB2312" w:hAnsi="Times New Roman"/>
          <w:sz w:val="32"/>
          <w:szCs w:val="32"/>
        </w:rPr>
        <w:t>·</w:t>
      </w:r>
      <w:r w:rsidRPr="00726163">
        <w:rPr>
          <w:rFonts w:ascii="Times New Roman" w:eastAsia="仿宋_GB2312" w:hAnsi="Times New Roman"/>
          <w:sz w:val="32"/>
          <w:szCs w:val="32"/>
        </w:rPr>
        <w:t>天。</w:t>
      </w:r>
    </w:p>
    <w:p w14:paraId="3A5A60D0"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第三十四条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在标准仓单注销日后（不含注销日）的</w:t>
      </w:r>
      <w:r w:rsidRPr="00726163">
        <w:rPr>
          <w:rFonts w:ascii="Times New Roman" w:eastAsia="仿宋_GB2312" w:hAnsi="Times New Roman"/>
          <w:sz w:val="32"/>
          <w:szCs w:val="32"/>
        </w:rPr>
        <w:t>27</w:t>
      </w:r>
      <w:r w:rsidRPr="00726163">
        <w:rPr>
          <w:rFonts w:ascii="Times New Roman" w:eastAsia="仿宋_GB2312" w:hAnsi="Times New Roman"/>
          <w:sz w:val="32"/>
          <w:szCs w:val="32"/>
        </w:rPr>
        <w:t>个自然日后（不含当日）到厂库提货，货主应当以下述公式的计算方法向厂库支付滞纳金，同时厂库将不再按照期货标准承担有关的商品质量、发货时间和发货速度的责任。</w:t>
      </w:r>
    </w:p>
    <w:p w14:paraId="3840E939"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滞纳金金额</w:t>
      </w:r>
      <w:r w:rsidRPr="00726163">
        <w:rPr>
          <w:rFonts w:ascii="Times New Roman" w:eastAsia="仿宋_GB2312" w:hAnsi="Times New Roman"/>
          <w:sz w:val="32"/>
          <w:szCs w:val="32"/>
        </w:rPr>
        <w:t>=6</w:t>
      </w:r>
      <w:r w:rsidRPr="00726163">
        <w:rPr>
          <w:rFonts w:ascii="Times New Roman" w:eastAsia="仿宋_GB2312" w:hAnsi="Times New Roman"/>
          <w:sz w:val="32"/>
          <w:szCs w:val="32"/>
        </w:rPr>
        <w:t>元</w:t>
      </w:r>
      <w:r w:rsidRPr="00726163">
        <w:rPr>
          <w:rFonts w:ascii="Times New Roman" w:eastAsia="仿宋_GB2312" w:hAnsi="Times New Roman"/>
          <w:sz w:val="32"/>
          <w:szCs w:val="32"/>
        </w:rPr>
        <w:t>/</w:t>
      </w:r>
      <w:r w:rsidRPr="00726163">
        <w:rPr>
          <w:rFonts w:ascii="Times New Roman" w:eastAsia="仿宋_GB2312" w:hAnsi="Times New Roman"/>
          <w:sz w:val="32"/>
          <w:szCs w:val="32"/>
        </w:rPr>
        <w:t>吨</w:t>
      </w:r>
      <w:r w:rsidRPr="00726163">
        <w:rPr>
          <w:rFonts w:ascii="Times New Roman" w:eastAsia="仿宋_GB2312" w:hAnsi="Times New Roman"/>
          <w:sz w:val="32"/>
          <w:szCs w:val="32"/>
        </w:rPr>
        <w:t>·</w:t>
      </w:r>
      <w:r w:rsidRPr="00726163">
        <w:rPr>
          <w:rFonts w:ascii="Times New Roman" w:eastAsia="仿宋_GB2312" w:hAnsi="Times New Roman"/>
          <w:sz w:val="32"/>
          <w:szCs w:val="32"/>
        </w:rPr>
        <w:t>天</w:t>
      </w:r>
      <w:r w:rsidRPr="00726163">
        <w:rPr>
          <w:rFonts w:ascii="Times New Roman" w:eastAsia="仿宋_GB2312" w:hAnsi="Times New Roman"/>
          <w:sz w:val="32"/>
          <w:szCs w:val="32"/>
        </w:rPr>
        <w:t>×</w:t>
      </w:r>
      <w:r w:rsidRPr="00726163">
        <w:rPr>
          <w:rFonts w:ascii="Times New Roman" w:eastAsia="仿宋_GB2312" w:hAnsi="Times New Roman"/>
          <w:sz w:val="32"/>
          <w:szCs w:val="32"/>
        </w:rPr>
        <w:t>全部的商品数量</w:t>
      </w:r>
      <w:r w:rsidRPr="00726163">
        <w:rPr>
          <w:rFonts w:ascii="Times New Roman" w:eastAsia="仿宋_GB2312" w:hAnsi="Times New Roman"/>
          <w:sz w:val="32"/>
          <w:szCs w:val="32"/>
        </w:rPr>
        <w:t>×27</w:t>
      </w:r>
      <w:r w:rsidRPr="00726163">
        <w:rPr>
          <w:rFonts w:ascii="Times New Roman" w:eastAsia="仿宋_GB2312" w:hAnsi="Times New Roman"/>
          <w:sz w:val="32"/>
          <w:szCs w:val="32"/>
        </w:rPr>
        <w:t>天</w:t>
      </w:r>
    </w:p>
    <w:p w14:paraId="2D400B7F"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第三十五条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厂库未按规定的日发货速度发货，但按时完成了所有商品的发货，厂库应当向货主支付赔偿金。</w:t>
      </w:r>
    </w:p>
    <w:p w14:paraId="0D05CE2C"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赔偿金金额</w:t>
      </w:r>
      <w:r w:rsidRPr="00726163">
        <w:rPr>
          <w:rFonts w:ascii="Times New Roman" w:eastAsia="仿宋_GB2312" w:hAnsi="Times New Roman"/>
          <w:sz w:val="32"/>
          <w:szCs w:val="32"/>
        </w:rPr>
        <w:t>=</w:t>
      </w:r>
      <w:r w:rsidRPr="00726163">
        <w:rPr>
          <w:rFonts w:ascii="Times New Roman" w:eastAsia="仿宋_GB2312" w:hAnsi="Times New Roman"/>
          <w:sz w:val="32"/>
          <w:szCs w:val="32"/>
        </w:rPr>
        <w:t>该商品最近已交割月份交割结算价</w:t>
      </w:r>
      <w:r w:rsidRPr="00726163">
        <w:rPr>
          <w:rFonts w:ascii="Times New Roman" w:eastAsia="仿宋_GB2312" w:hAnsi="Times New Roman"/>
          <w:sz w:val="32"/>
          <w:szCs w:val="32"/>
        </w:rPr>
        <w:t>×</w:t>
      </w:r>
      <w:r w:rsidRPr="00726163">
        <w:rPr>
          <w:rFonts w:ascii="Times New Roman" w:eastAsia="仿宋_GB2312" w:hAnsi="Times New Roman"/>
          <w:sz w:val="32"/>
          <w:szCs w:val="32"/>
        </w:rPr>
        <w:t>按日出库速度应发而未发的商品数量</w:t>
      </w:r>
      <w:r w:rsidRPr="00726163">
        <w:rPr>
          <w:rFonts w:ascii="Times New Roman" w:eastAsia="仿宋_GB2312" w:hAnsi="Times New Roman"/>
          <w:sz w:val="32"/>
          <w:szCs w:val="32"/>
        </w:rPr>
        <w:t>×5%</w:t>
      </w:r>
    </w:p>
    <w:p w14:paraId="32C328F4"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第三十六条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厂库未按时完成所有商品的发货，在按本细则第三十五条规定进行赔偿的基础上，同时还应当向货主支付赔偿金，赔偿金金额</w:t>
      </w:r>
      <w:r w:rsidRPr="00726163">
        <w:rPr>
          <w:rFonts w:ascii="Times New Roman" w:eastAsia="仿宋_GB2312" w:hAnsi="Times New Roman"/>
          <w:sz w:val="32"/>
          <w:szCs w:val="32"/>
        </w:rPr>
        <w:t>=</w:t>
      </w:r>
      <w:r w:rsidRPr="00726163">
        <w:rPr>
          <w:rFonts w:ascii="Times New Roman" w:eastAsia="仿宋_GB2312" w:hAnsi="Times New Roman"/>
          <w:sz w:val="32"/>
          <w:szCs w:val="32"/>
        </w:rPr>
        <w:t>该商品最近已交割月份交割结算价</w:t>
      </w:r>
      <w:r w:rsidRPr="00726163">
        <w:rPr>
          <w:rFonts w:ascii="Times New Roman" w:eastAsia="仿宋_GB2312" w:hAnsi="Times New Roman"/>
          <w:sz w:val="32"/>
          <w:szCs w:val="32"/>
        </w:rPr>
        <w:t>×</w:t>
      </w:r>
      <w:r w:rsidRPr="00726163">
        <w:rPr>
          <w:rFonts w:ascii="Times New Roman" w:eastAsia="仿宋_GB2312" w:hAnsi="Times New Roman"/>
          <w:sz w:val="32"/>
          <w:szCs w:val="32"/>
        </w:rPr>
        <w:t>按商品总量应发而未发的商品数量</w:t>
      </w:r>
      <w:r w:rsidRPr="00726163">
        <w:rPr>
          <w:rFonts w:ascii="Times New Roman" w:eastAsia="仿宋_GB2312" w:hAnsi="Times New Roman"/>
          <w:sz w:val="32"/>
          <w:szCs w:val="32"/>
        </w:rPr>
        <w:t>×5%</w:t>
      </w:r>
      <w:r w:rsidRPr="00726163">
        <w:rPr>
          <w:rFonts w:ascii="Times New Roman" w:eastAsia="仿宋_GB2312" w:hAnsi="Times New Roman"/>
          <w:sz w:val="32"/>
          <w:szCs w:val="32"/>
        </w:rPr>
        <w:t>；并按照以下程序进行处理：</w:t>
      </w:r>
    </w:p>
    <w:p w14:paraId="0406F09C"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（一）交易所向货主提供其它厂库或其它地点的相同质量和数量的现货商品，并承担调整交货地点和延期发货产生的全部费用。</w:t>
      </w:r>
    </w:p>
    <w:p w14:paraId="19494D97"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（二）交易所无法提供上述商品时，向货主返还货款并支付赔偿金。</w:t>
      </w:r>
    </w:p>
    <w:p w14:paraId="2C32672F"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返还货款和赔偿金的金额</w:t>
      </w:r>
      <w:r w:rsidRPr="00726163">
        <w:rPr>
          <w:rFonts w:ascii="Times New Roman" w:eastAsia="仿宋_GB2312" w:hAnsi="Times New Roman"/>
          <w:sz w:val="32"/>
          <w:szCs w:val="32"/>
        </w:rPr>
        <w:t>=</w:t>
      </w:r>
      <w:r w:rsidRPr="00726163">
        <w:rPr>
          <w:rFonts w:ascii="Times New Roman" w:eastAsia="仿宋_GB2312" w:hAnsi="Times New Roman"/>
          <w:sz w:val="32"/>
          <w:szCs w:val="32"/>
        </w:rPr>
        <w:t>该商品最近已交割月份交割结算价</w:t>
      </w:r>
      <w:r w:rsidRPr="00726163">
        <w:rPr>
          <w:rFonts w:ascii="Times New Roman" w:eastAsia="仿宋_GB2312" w:hAnsi="Times New Roman"/>
          <w:sz w:val="32"/>
          <w:szCs w:val="32"/>
        </w:rPr>
        <w:t>×</w:t>
      </w:r>
      <w:r w:rsidRPr="00726163">
        <w:rPr>
          <w:rFonts w:ascii="Times New Roman" w:eastAsia="仿宋_GB2312" w:hAnsi="Times New Roman"/>
          <w:sz w:val="32"/>
          <w:szCs w:val="32"/>
        </w:rPr>
        <w:t>按商品总量应发而未发的商品数量</w:t>
      </w:r>
      <w:r w:rsidRPr="00726163">
        <w:rPr>
          <w:rFonts w:ascii="Times New Roman" w:eastAsia="仿宋_GB2312" w:hAnsi="Times New Roman"/>
          <w:sz w:val="32"/>
          <w:szCs w:val="32"/>
        </w:rPr>
        <w:t>×120%</w:t>
      </w:r>
    </w:p>
    <w:p w14:paraId="24AD3AEF"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第三十七条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当厂库发生本细则第三十五条、第三十六条中的违约行为时，首先由厂库向货主支付赔偿金。厂库未支付的或者支付数额不足的，交易所按照《大连商品交易所标准仓单管理办法》相关规定处理。</w:t>
      </w:r>
    </w:p>
    <w:p w14:paraId="24BAB9E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第三十八条</w:t>
      </w:r>
      <w:r w:rsidRPr="00726163">
        <w:rPr>
          <w:rFonts w:ascii="Times New Roman" w:eastAsia="仿宋_GB2312" w:hAnsi="Times New Roman"/>
          <w:sz w:val="32"/>
          <w:szCs w:val="32"/>
        </w:rPr>
        <w:t xml:space="preserve"> </w:t>
      </w:r>
      <w:r w:rsidRPr="00726163">
        <w:rPr>
          <w:rFonts w:ascii="Times New Roman" w:eastAsia="仿宋_GB2312" w:hAnsi="Times New Roman"/>
          <w:color w:val="000000"/>
          <w:kern w:val="0"/>
          <w:sz w:val="32"/>
          <w:szCs w:val="32"/>
        </w:rPr>
        <w:t>液化石油气出库时，指定交割仓库应当核验货主的液化石油气生产、经营或使用资质，以及相应运输方的运输资质。</w:t>
      </w:r>
    </w:p>
    <w:p w14:paraId="2A7A3C37" w14:textId="77777777" w:rsidR="00726163" w:rsidRPr="00726163" w:rsidRDefault="00726163" w:rsidP="003E3461">
      <w:pPr>
        <w:spacing w:line="580" w:lineRule="exact"/>
        <w:jc w:val="center"/>
        <w:rPr>
          <w:rFonts w:ascii="Times New Roman" w:eastAsia="黑体" w:hAnsi="Times New Roman"/>
          <w:sz w:val="32"/>
          <w:szCs w:val="32"/>
        </w:rPr>
      </w:pPr>
      <w:r w:rsidRPr="00726163">
        <w:rPr>
          <w:rFonts w:ascii="Times New Roman" w:eastAsia="黑体" w:hAnsi="Times New Roman"/>
          <w:sz w:val="32"/>
          <w:szCs w:val="32"/>
        </w:rPr>
        <w:t>第四章</w:t>
      </w:r>
      <w:r w:rsidRPr="00726163">
        <w:rPr>
          <w:rFonts w:ascii="Times New Roman" w:eastAsia="黑体" w:hAnsi="Times New Roman"/>
          <w:sz w:val="32"/>
          <w:szCs w:val="32"/>
        </w:rPr>
        <w:t xml:space="preserve"> </w:t>
      </w:r>
      <w:r w:rsidRPr="00726163">
        <w:rPr>
          <w:rFonts w:ascii="Times New Roman" w:eastAsia="黑体" w:hAnsi="Times New Roman"/>
          <w:sz w:val="32"/>
          <w:szCs w:val="32"/>
        </w:rPr>
        <w:t>附则</w:t>
      </w:r>
    </w:p>
    <w:p w14:paraId="2E64E266"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第三十九条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违反本细则规定的，交易所按照《大连商品交易所违规处理办法》和其他业务规则的有关规定处理。</w:t>
      </w:r>
    </w:p>
    <w:p w14:paraId="6F4E236A"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第四十条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本细则解释权属于大连商品交易所。</w:t>
      </w:r>
    </w:p>
    <w:p w14:paraId="23B19AD6" w14:textId="795216E3" w:rsid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第四十一条</w:t>
      </w:r>
      <w:r w:rsidRPr="00726163">
        <w:rPr>
          <w:rFonts w:ascii="Times New Roman" w:eastAsia="仿宋_GB2312" w:hAnsi="Times New Roman"/>
          <w:sz w:val="32"/>
          <w:szCs w:val="32"/>
        </w:rPr>
        <w:t xml:space="preserve"> </w:t>
      </w:r>
      <w:r w:rsidRPr="00726163">
        <w:rPr>
          <w:rFonts w:ascii="Times New Roman" w:eastAsia="仿宋_GB2312" w:hAnsi="Times New Roman"/>
          <w:sz w:val="32"/>
          <w:szCs w:val="32"/>
        </w:rPr>
        <w:t>本细则自公布之日起实施。</w:t>
      </w:r>
    </w:p>
    <w:p w14:paraId="5D4506C9" w14:textId="77777777" w:rsidR="00645380" w:rsidRPr="00726163" w:rsidRDefault="00645380" w:rsidP="003E3461">
      <w:pPr>
        <w:spacing w:line="580" w:lineRule="exact"/>
        <w:ind w:firstLineChars="200" w:firstLine="640"/>
        <w:rPr>
          <w:rFonts w:ascii="Times New Roman" w:eastAsia="仿宋_GB2312" w:hAnsi="Times New Roman" w:hint="eastAsia"/>
          <w:sz w:val="32"/>
          <w:szCs w:val="32"/>
        </w:rPr>
      </w:pPr>
    </w:p>
    <w:p w14:paraId="1D0623DE" w14:textId="408DD03D" w:rsidR="00645380"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sz w:val="32"/>
          <w:szCs w:val="32"/>
        </w:rPr>
        <w:t>附件</w:t>
      </w:r>
      <w:r w:rsidR="00645380">
        <w:rPr>
          <w:rFonts w:ascii="Times New Roman" w:eastAsia="仿宋_GB2312" w:hAnsi="Times New Roman" w:hint="eastAsia"/>
          <w:sz w:val="32"/>
          <w:szCs w:val="32"/>
        </w:rPr>
        <w:t>：</w:t>
      </w:r>
      <w:r w:rsidRPr="00726163">
        <w:rPr>
          <w:rFonts w:ascii="Times New Roman" w:eastAsia="仿宋_GB2312" w:hAnsi="Times New Roman"/>
          <w:sz w:val="32"/>
          <w:szCs w:val="32"/>
        </w:rPr>
        <w:t>1</w:t>
      </w:r>
      <w:r w:rsidR="00645380">
        <w:rPr>
          <w:rFonts w:ascii="Times New Roman" w:eastAsia="仿宋_GB2312" w:hAnsi="Times New Roman" w:hint="eastAsia"/>
          <w:sz w:val="32"/>
          <w:szCs w:val="32"/>
        </w:rPr>
        <w:t>.</w:t>
      </w:r>
      <w:r w:rsidR="00645380">
        <w:rPr>
          <w:rFonts w:ascii="Times New Roman" w:eastAsia="仿宋_GB2312" w:hAnsi="Times New Roman"/>
          <w:sz w:val="32"/>
          <w:szCs w:val="32"/>
        </w:rPr>
        <w:t xml:space="preserve"> </w:t>
      </w:r>
      <w:r w:rsidRPr="00726163">
        <w:rPr>
          <w:rFonts w:ascii="Times New Roman" w:eastAsia="仿宋_GB2312" w:hAnsi="Times New Roman"/>
          <w:sz w:val="32"/>
          <w:szCs w:val="32"/>
        </w:rPr>
        <w:t>大连商品交易所液化石油气交割质量标准</w:t>
      </w:r>
    </w:p>
    <w:p w14:paraId="6F8DCAFF" w14:textId="01B522D6" w:rsidR="00726163" w:rsidRPr="00726163" w:rsidRDefault="00726163" w:rsidP="00645380">
      <w:pPr>
        <w:spacing w:line="580" w:lineRule="exact"/>
        <w:ind w:firstLineChars="600" w:firstLine="1920"/>
        <w:rPr>
          <w:rFonts w:ascii="Times New Roman" w:eastAsia="仿宋_GB2312" w:hAnsi="Times New Roman"/>
          <w:sz w:val="32"/>
          <w:szCs w:val="32"/>
        </w:rPr>
      </w:pPr>
      <w:r w:rsidRPr="00726163">
        <w:rPr>
          <w:rFonts w:ascii="Times New Roman" w:eastAsia="仿宋_GB2312" w:hAnsi="Times New Roman"/>
          <w:sz w:val="32"/>
          <w:szCs w:val="32"/>
        </w:rPr>
        <w:t>（</w:t>
      </w:r>
      <w:r w:rsidRPr="00726163">
        <w:rPr>
          <w:rFonts w:ascii="Times New Roman" w:eastAsia="仿宋_GB2312" w:hAnsi="Times New Roman"/>
          <w:sz w:val="32"/>
          <w:szCs w:val="32"/>
        </w:rPr>
        <w:t>F/DCE PG 001-2020</w:t>
      </w:r>
      <w:r w:rsidRPr="00726163">
        <w:rPr>
          <w:rFonts w:ascii="Times New Roman" w:eastAsia="仿宋_GB2312" w:hAnsi="Times New Roman"/>
          <w:sz w:val="32"/>
          <w:szCs w:val="32"/>
        </w:rPr>
        <w:t>）</w:t>
      </w:r>
    </w:p>
    <w:p w14:paraId="709D87B8" w14:textId="77777777" w:rsidR="00645380" w:rsidRDefault="00726163" w:rsidP="00645380">
      <w:pPr>
        <w:spacing w:line="580" w:lineRule="exact"/>
        <w:ind w:firstLineChars="500" w:firstLine="1600"/>
        <w:rPr>
          <w:rFonts w:ascii="Times New Roman" w:eastAsia="仿宋_GB2312" w:hAnsi="Times New Roman"/>
          <w:sz w:val="32"/>
          <w:szCs w:val="32"/>
        </w:rPr>
      </w:pPr>
      <w:r w:rsidRPr="00726163">
        <w:rPr>
          <w:rFonts w:ascii="Times New Roman" w:eastAsia="仿宋_GB2312" w:hAnsi="Times New Roman"/>
          <w:sz w:val="32"/>
          <w:szCs w:val="32"/>
        </w:rPr>
        <w:t>2</w:t>
      </w:r>
      <w:r w:rsidR="00645380">
        <w:rPr>
          <w:rFonts w:ascii="Times New Roman" w:eastAsia="仿宋_GB2312" w:hAnsi="Times New Roman" w:hint="eastAsia"/>
          <w:sz w:val="32"/>
          <w:szCs w:val="32"/>
        </w:rPr>
        <w:t>.</w:t>
      </w:r>
      <w:r w:rsidR="00645380">
        <w:rPr>
          <w:rFonts w:ascii="Times New Roman" w:eastAsia="仿宋_GB2312" w:hAnsi="Times New Roman"/>
          <w:sz w:val="32"/>
          <w:szCs w:val="32"/>
        </w:rPr>
        <w:t xml:space="preserve"> </w:t>
      </w:r>
      <w:r w:rsidRPr="00726163">
        <w:rPr>
          <w:rFonts w:ascii="Times New Roman" w:eastAsia="仿宋_GB2312" w:hAnsi="Times New Roman"/>
          <w:sz w:val="32"/>
          <w:szCs w:val="32"/>
        </w:rPr>
        <w:t>大连商品交易所液化石油气指定交割仓库</w:t>
      </w:r>
    </w:p>
    <w:p w14:paraId="2DB18EE0" w14:textId="5C10190A" w:rsidR="00726163" w:rsidRPr="00726163" w:rsidRDefault="00726163" w:rsidP="00645380">
      <w:pPr>
        <w:spacing w:line="580" w:lineRule="exact"/>
        <w:ind w:firstLineChars="620" w:firstLine="1984"/>
        <w:rPr>
          <w:rFonts w:ascii="Times New Roman" w:eastAsia="仿宋_GB2312" w:hAnsi="Times New Roman"/>
          <w:sz w:val="32"/>
          <w:szCs w:val="32"/>
        </w:rPr>
      </w:pPr>
      <w:r w:rsidRPr="00726163">
        <w:rPr>
          <w:rFonts w:ascii="Times New Roman" w:eastAsia="仿宋_GB2312" w:hAnsi="Times New Roman"/>
          <w:sz w:val="32"/>
          <w:szCs w:val="32"/>
        </w:rPr>
        <w:t>名录（略）</w:t>
      </w:r>
    </w:p>
    <w:p w14:paraId="0FC2F321" w14:textId="4E250E63" w:rsidR="00726163" w:rsidRPr="00726163" w:rsidRDefault="00726163" w:rsidP="003E3461">
      <w:pPr>
        <w:jc w:val="left"/>
        <w:rPr>
          <w:rFonts w:ascii="Times New Roman" w:eastAsia="仿宋_GB2312" w:hAnsi="Times New Roman" w:hint="eastAsia"/>
          <w:sz w:val="32"/>
          <w:szCs w:val="32"/>
        </w:rPr>
      </w:pPr>
      <w:r w:rsidRPr="00726163">
        <w:rPr>
          <w:rFonts w:ascii="Times New Roman" w:eastAsia="仿宋_GB2312" w:hAnsi="Times New Roman"/>
          <w:kern w:val="0"/>
          <w:sz w:val="32"/>
          <w:szCs w:val="32"/>
        </w:rPr>
        <w:br w:type="page"/>
      </w:r>
      <w:r w:rsidRPr="00726163">
        <w:rPr>
          <w:rFonts w:ascii="Times New Roman" w:eastAsia="仿宋_GB2312" w:hAnsi="Times New Roman"/>
          <w:sz w:val="32"/>
          <w:szCs w:val="32"/>
        </w:rPr>
        <w:t>附件</w:t>
      </w:r>
      <w:r w:rsidRPr="00726163">
        <w:rPr>
          <w:rFonts w:ascii="Times New Roman" w:eastAsia="仿宋_GB2312" w:hAnsi="Times New Roman"/>
          <w:sz w:val="32"/>
          <w:szCs w:val="32"/>
        </w:rPr>
        <w:t>1</w:t>
      </w:r>
    </w:p>
    <w:p w14:paraId="44F604F7" w14:textId="77777777" w:rsidR="00726163" w:rsidRPr="00726163" w:rsidRDefault="00726163" w:rsidP="003E3461">
      <w:pPr>
        <w:spacing w:line="580" w:lineRule="exact"/>
        <w:jc w:val="center"/>
        <w:rPr>
          <w:rFonts w:ascii="Times New Roman" w:eastAsia="宋体" w:hAnsi="Times New Roman"/>
          <w:b/>
          <w:color w:val="000000"/>
          <w:sz w:val="40"/>
          <w:szCs w:val="40"/>
        </w:rPr>
      </w:pPr>
    </w:p>
    <w:p w14:paraId="2D29589D" w14:textId="77777777" w:rsidR="00726163" w:rsidRPr="00726163" w:rsidRDefault="00726163" w:rsidP="003E3461">
      <w:pPr>
        <w:spacing w:line="580" w:lineRule="exact"/>
        <w:jc w:val="center"/>
        <w:rPr>
          <w:rFonts w:ascii="Times New Roman" w:eastAsia="宋体" w:hAnsi="Times New Roman"/>
          <w:b/>
          <w:color w:val="000000"/>
          <w:sz w:val="40"/>
          <w:szCs w:val="40"/>
        </w:rPr>
      </w:pPr>
      <w:r w:rsidRPr="00726163">
        <w:rPr>
          <w:rFonts w:ascii="Times New Roman" w:eastAsia="宋体" w:hAnsi="Times New Roman"/>
          <w:b/>
          <w:color w:val="000000"/>
          <w:sz w:val="40"/>
          <w:szCs w:val="40"/>
        </w:rPr>
        <w:t>大连商品交易所液化石油气</w:t>
      </w:r>
    </w:p>
    <w:p w14:paraId="2639538E" w14:textId="77777777" w:rsidR="00726163" w:rsidRPr="00726163" w:rsidRDefault="00726163" w:rsidP="003E3461">
      <w:pPr>
        <w:spacing w:line="580" w:lineRule="exact"/>
        <w:jc w:val="center"/>
        <w:rPr>
          <w:rFonts w:ascii="Times New Roman" w:eastAsia="宋体" w:hAnsi="Times New Roman"/>
          <w:b/>
          <w:color w:val="000000"/>
          <w:sz w:val="40"/>
          <w:szCs w:val="40"/>
        </w:rPr>
      </w:pPr>
      <w:r w:rsidRPr="00726163">
        <w:rPr>
          <w:rFonts w:ascii="Times New Roman" w:eastAsia="宋体" w:hAnsi="Times New Roman"/>
          <w:b/>
          <w:color w:val="000000"/>
          <w:sz w:val="40"/>
          <w:szCs w:val="40"/>
        </w:rPr>
        <w:t>交割质量标准</w:t>
      </w:r>
    </w:p>
    <w:p w14:paraId="0047443C" w14:textId="77777777" w:rsidR="00726163" w:rsidRPr="00726163" w:rsidRDefault="00726163" w:rsidP="003E3461">
      <w:pPr>
        <w:spacing w:line="580" w:lineRule="exact"/>
        <w:jc w:val="center"/>
        <w:rPr>
          <w:rFonts w:ascii="Times New Roman" w:eastAsia="宋体" w:hAnsi="Times New Roman"/>
          <w:b/>
          <w:color w:val="000000"/>
          <w:sz w:val="40"/>
          <w:szCs w:val="40"/>
        </w:rPr>
      </w:pPr>
      <w:r w:rsidRPr="00726163">
        <w:rPr>
          <w:rFonts w:ascii="Times New Roman" w:eastAsia="仿宋_GB2312" w:hAnsi="Times New Roman"/>
          <w:sz w:val="32"/>
          <w:szCs w:val="32"/>
        </w:rPr>
        <w:t>（</w:t>
      </w:r>
      <w:r w:rsidRPr="00726163">
        <w:rPr>
          <w:rFonts w:ascii="Times New Roman" w:eastAsia="仿宋_GB2312" w:hAnsi="Times New Roman"/>
          <w:sz w:val="32"/>
          <w:szCs w:val="32"/>
        </w:rPr>
        <w:t>F/DCE PG 001-2020</w:t>
      </w:r>
      <w:r w:rsidRPr="00726163">
        <w:rPr>
          <w:rFonts w:ascii="Times New Roman" w:eastAsia="仿宋_GB2312" w:hAnsi="Times New Roman"/>
          <w:sz w:val="32"/>
          <w:szCs w:val="32"/>
        </w:rPr>
        <w:t>）</w:t>
      </w:r>
    </w:p>
    <w:p w14:paraId="49115683"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p>
    <w:p w14:paraId="3930B995" w14:textId="77777777"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1 </w:t>
      </w:r>
      <w:r w:rsidRPr="00726163">
        <w:rPr>
          <w:rFonts w:ascii="Times New Roman" w:eastAsia="黑体" w:hAnsi="Times New Roman"/>
          <w:color w:val="000000"/>
          <w:sz w:val="32"/>
          <w:szCs w:val="32"/>
        </w:rPr>
        <w:t>范围</w:t>
      </w:r>
    </w:p>
    <w:p w14:paraId="1D4C50C3" w14:textId="77777777" w:rsidR="00726163" w:rsidRPr="00726163" w:rsidRDefault="00726163" w:rsidP="003E3461">
      <w:pPr>
        <w:spacing w:line="580" w:lineRule="exact"/>
        <w:ind w:leftChars="76" w:left="160" w:firstLineChars="150" w:firstLine="48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1.1</w:t>
      </w:r>
      <w:r w:rsidRPr="00726163">
        <w:rPr>
          <w:rFonts w:ascii="Times New Roman" w:eastAsia="仿宋_GB2312" w:hAnsi="Times New Roman"/>
          <w:color w:val="000000"/>
          <w:sz w:val="32"/>
          <w:szCs w:val="32"/>
        </w:rPr>
        <w:t>本标准规定了用于大连商品交易所交割的液化石油气质量指标、取样及检验、贮存等要求。</w:t>
      </w:r>
    </w:p>
    <w:p w14:paraId="13C31532"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 xml:space="preserve">1.2 </w:t>
      </w:r>
      <w:r w:rsidRPr="00726163">
        <w:rPr>
          <w:rFonts w:ascii="Times New Roman" w:eastAsia="仿宋_GB2312" w:hAnsi="Times New Roman"/>
          <w:color w:val="000000"/>
          <w:sz w:val="32"/>
          <w:szCs w:val="32"/>
        </w:rPr>
        <w:t>本标准适用于大连商品交易所液化石油气期货合约交割标准品和替代品。</w:t>
      </w:r>
    </w:p>
    <w:p w14:paraId="3E10D629" w14:textId="77777777"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2 </w:t>
      </w:r>
      <w:r w:rsidRPr="00726163">
        <w:rPr>
          <w:rFonts w:ascii="Times New Roman" w:eastAsia="黑体" w:hAnsi="Times New Roman"/>
          <w:color w:val="000000"/>
          <w:sz w:val="32"/>
          <w:szCs w:val="32"/>
        </w:rPr>
        <w:t>规范性引用文件</w:t>
      </w:r>
    </w:p>
    <w:p w14:paraId="26F4C92C"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17D67481"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 xml:space="preserve">GB 11174-2011  </w:t>
      </w:r>
      <w:r w:rsidRPr="00726163">
        <w:rPr>
          <w:rFonts w:ascii="Times New Roman" w:eastAsia="仿宋_GB2312" w:hAnsi="Times New Roman"/>
          <w:color w:val="000000"/>
          <w:sz w:val="32"/>
          <w:szCs w:val="32"/>
        </w:rPr>
        <w:t>液化石油气</w:t>
      </w:r>
    </w:p>
    <w:p w14:paraId="19403256"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 xml:space="preserve">SH/T 0233-1992  </w:t>
      </w:r>
      <w:r w:rsidRPr="00726163">
        <w:rPr>
          <w:rFonts w:ascii="Times New Roman" w:eastAsia="仿宋_GB2312" w:hAnsi="Times New Roman"/>
          <w:color w:val="000000"/>
          <w:sz w:val="32"/>
          <w:szCs w:val="32"/>
        </w:rPr>
        <w:t>液化石油气采样法</w:t>
      </w:r>
    </w:p>
    <w:p w14:paraId="4ED7CCEE" w14:textId="77777777"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3 </w:t>
      </w:r>
      <w:r w:rsidRPr="00726163">
        <w:rPr>
          <w:rFonts w:ascii="Times New Roman" w:eastAsia="黑体" w:hAnsi="Times New Roman"/>
          <w:color w:val="000000"/>
          <w:sz w:val="32"/>
          <w:szCs w:val="32"/>
        </w:rPr>
        <w:t>术语和定义</w:t>
      </w:r>
    </w:p>
    <w:p w14:paraId="47DDAF6F" w14:textId="16C834FE" w:rsid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应符合</w:t>
      </w:r>
      <w:r w:rsidRPr="00726163">
        <w:rPr>
          <w:rFonts w:ascii="Times New Roman" w:eastAsia="仿宋_GB2312" w:hAnsi="Times New Roman"/>
          <w:color w:val="000000"/>
          <w:sz w:val="32"/>
          <w:szCs w:val="32"/>
        </w:rPr>
        <w:t>GB 11174-2011</w:t>
      </w:r>
      <w:r w:rsidRPr="00726163">
        <w:rPr>
          <w:rFonts w:ascii="Times New Roman" w:eastAsia="仿宋_GB2312" w:hAnsi="Times New Roman"/>
          <w:color w:val="000000"/>
          <w:sz w:val="32"/>
          <w:szCs w:val="32"/>
        </w:rPr>
        <w:t>及其引用标准中术语和定义的有关规定。</w:t>
      </w:r>
    </w:p>
    <w:p w14:paraId="19A5BAB5" w14:textId="7A553332" w:rsidR="004931A2" w:rsidRDefault="004931A2" w:rsidP="003E3461">
      <w:pPr>
        <w:spacing w:line="580" w:lineRule="exact"/>
        <w:ind w:firstLineChars="200" w:firstLine="640"/>
        <w:rPr>
          <w:rFonts w:ascii="Times New Roman" w:eastAsia="仿宋_GB2312" w:hAnsi="Times New Roman"/>
          <w:color w:val="000000"/>
          <w:sz w:val="32"/>
          <w:szCs w:val="32"/>
        </w:rPr>
      </w:pPr>
    </w:p>
    <w:p w14:paraId="3199F050" w14:textId="77777777" w:rsidR="004931A2" w:rsidRPr="00726163" w:rsidRDefault="004931A2" w:rsidP="003E3461">
      <w:pPr>
        <w:spacing w:line="580" w:lineRule="exact"/>
        <w:ind w:firstLineChars="200" w:firstLine="640"/>
        <w:rPr>
          <w:rFonts w:ascii="Times New Roman" w:eastAsia="仿宋_GB2312" w:hAnsi="Times New Roman" w:hint="eastAsia"/>
          <w:color w:val="000000"/>
          <w:sz w:val="32"/>
          <w:szCs w:val="32"/>
        </w:rPr>
      </w:pPr>
    </w:p>
    <w:p w14:paraId="1EA02186" w14:textId="77777777"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4 </w:t>
      </w:r>
      <w:r w:rsidRPr="00726163">
        <w:rPr>
          <w:rFonts w:ascii="Times New Roman" w:eastAsia="黑体" w:hAnsi="Times New Roman"/>
          <w:color w:val="000000"/>
          <w:sz w:val="32"/>
          <w:szCs w:val="32"/>
        </w:rPr>
        <w:t>质量要求</w:t>
      </w:r>
    </w:p>
    <w:p w14:paraId="0032D040" w14:textId="77777777"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4.1 </w:t>
      </w:r>
      <w:r w:rsidRPr="00726163">
        <w:rPr>
          <w:rFonts w:ascii="Times New Roman" w:eastAsia="黑体" w:hAnsi="Times New Roman"/>
          <w:color w:val="000000"/>
          <w:sz w:val="32"/>
          <w:szCs w:val="32"/>
        </w:rPr>
        <w:t>标准品质量要求</w:t>
      </w:r>
    </w:p>
    <w:tbl>
      <w:tblPr>
        <w:tblW w:w="5000" w:type="pct"/>
        <w:tblLook w:val="04A0" w:firstRow="1" w:lastRow="0" w:firstColumn="1" w:lastColumn="0" w:noHBand="0" w:noVBand="1"/>
      </w:tblPr>
      <w:tblGrid>
        <w:gridCol w:w="222"/>
        <w:gridCol w:w="6466"/>
        <w:gridCol w:w="1608"/>
      </w:tblGrid>
      <w:tr w:rsidR="00726163" w:rsidRPr="00726163" w14:paraId="4948C1C7" w14:textId="77777777" w:rsidTr="00292285">
        <w:trPr>
          <w:trHeight w:val="270"/>
        </w:trPr>
        <w:tc>
          <w:tcPr>
            <w:tcW w:w="4107" w:type="pct"/>
            <w:gridSpan w:val="2"/>
            <w:tcBorders>
              <w:top w:val="single" w:sz="4" w:space="0" w:color="auto"/>
              <w:left w:val="single" w:sz="4" w:space="0" w:color="auto"/>
              <w:bottom w:val="single" w:sz="4" w:space="0" w:color="auto"/>
              <w:right w:val="single" w:sz="4" w:space="0" w:color="auto"/>
            </w:tcBorders>
            <w:noWrap/>
            <w:vAlign w:val="center"/>
            <w:hideMark/>
          </w:tcPr>
          <w:p w14:paraId="386BCE10"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项目</w:t>
            </w:r>
          </w:p>
        </w:tc>
        <w:tc>
          <w:tcPr>
            <w:tcW w:w="893" w:type="pct"/>
            <w:tcBorders>
              <w:top w:val="single" w:sz="4" w:space="0" w:color="auto"/>
              <w:left w:val="nil"/>
              <w:bottom w:val="single" w:sz="4" w:space="0" w:color="auto"/>
              <w:right w:val="single" w:sz="4" w:space="0" w:color="auto"/>
            </w:tcBorders>
            <w:noWrap/>
            <w:vAlign w:val="center"/>
            <w:hideMark/>
          </w:tcPr>
          <w:p w14:paraId="1ACD191A"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要求</w:t>
            </w:r>
          </w:p>
        </w:tc>
      </w:tr>
      <w:tr w:rsidR="00726163" w:rsidRPr="00726163" w14:paraId="5FFC06F1" w14:textId="77777777" w:rsidTr="00292285">
        <w:trPr>
          <w:trHeight w:val="480"/>
        </w:trPr>
        <w:tc>
          <w:tcPr>
            <w:tcW w:w="4107" w:type="pct"/>
            <w:gridSpan w:val="2"/>
            <w:tcBorders>
              <w:top w:val="single" w:sz="4" w:space="0" w:color="auto"/>
              <w:left w:val="single" w:sz="4" w:space="0" w:color="auto"/>
              <w:bottom w:val="single" w:sz="4" w:space="0" w:color="auto"/>
              <w:right w:val="single" w:sz="4" w:space="0" w:color="auto"/>
            </w:tcBorders>
            <w:noWrap/>
            <w:vAlign w:val="center"/>
            <w:hideMark/>
          </w:tcPr>
          <w:p w14:paraId="073EC623"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密度（</w:t>
            </w:r>
            <w:r w:rsidRPr="00726163">
              <w:rPr>
                <w:rFonts w:ascii="Times New Roman" w:eastAsia="仿宋_GB2312" w:hAnsi="Times New Roman"/>
                <w:color w:val="000000"/>
                <w:kern w:val="0"/>
                <w:sz w:val="32"/>
                <w:szCs w:val="32"/>
              </w:rPr>
              <w:t>15℃</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kg/m</w:t>
            </w:r>
            <w:r w:rsidRPr="00726163">
              <w:rPr>
                <w:rFonts w:ascii="Times New Roman" w:eastAsia="仿宋_GB2312" w:hAnsi="Times New Roman"/>
                <w:color w:val="000000"/>
                <w:kern w:val="0"/>
                <w:sz w:val="32"/>
                <w:szCs w:val="32"/>
                <w:vertAlign w:val="superscript"/>
              </w:rPr>
              <w:t>3</w:t>
            </w:r>
            <w:r w:rsidRPr="00726163">
              <w:rPr>
                <w:rFonts w:ascii="Times New Roman" w:eastAsia="仿宋_GB2312" w:hAnsi="Times New Roman"/>
                <w:color w:val="000000"/>
                <w:kern w:val="0"/>
                <w:sz w:val="32"/>
                <w:szCs w:val="32"/>
              </w:rPr>
              <w:t>）</w:t>
            </w:r>
          </w:p>
        </w:tc>
        <w:tc>
          <w:tcPr>
            <w:tcW w:w="893" w:type="pct"/>
            <w:tcBorders>
              <w:top w:val="nil"/>
              <w:left w:val="nil"/>
              <w:bottom w:val="single" w:sz="4" w:space="0" w:color="auto"/>
              <w:right w:val="single" w:sz="4" w:space="0" w:color="auto"/>
            </w:tcBorders>
            <w:noWrap/>
            <w:vAlign w:val="center"/>
            <w:hideMark/>
          </w:tcPr>
          <w:p w14:paraId="0E43F433"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报告</w:t>
            </w:r>
          </w:p>
        </w:tc>
      </w:tr>
      <w:tr w:rsidR="00726163" w:rsidRPr="00726163" w14:paraId="3552AD39" w14:textId="77777777" w:rsidTr="00292285">
        <w:trPr>
          <w:trHeight w:val="405"/>
        </w:trPr>
        <w:tc>
          <w:tcPr>
            <w:tcW w:w="4107" w:type="pct"/>
            <w:gridSpan w:val="2"/>
            <w:tcBorders>
              <w:top w:val="single" w:sz="4" w:space="0" w:color="auto"/>
              <w:left w:val="single" w:sz="4" w:space="0" w:color="auto"/>
              <w:bottom w:val="single" w:sz="4" w:space="0" w:color="auto"/>
              <w:right w:val="single" w:sz="4" w:space="0" w:color="auto"/>
            </w:tcBorders>
            <w:noWrap/>
            <w:vAlign w:val="center"/>
            <w:hideMark/>
          </w:tcPr>
          <w:p w14:paraId="62A33127"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蒸气压（</w:t>
            </w:r>
            <w:r w:rsidRPr="00726163">
              <w:rPr>
                <w:rFonts w:ascii="Times New Roman" w:eastAsia="仿宋_GB2312" w:hAnsi="Times New Roman"/>
                <w:color w:val="000000"/>
                <w:kern w:val="0"/>
                <w:sz w:val="32"/>
                <w:szCs w:val="32"/>
              </w:rPr>
              <w:t>37.8℃</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/kPa</w:t>
            </w:r>
          </w:p>
        </w:tc>
        <w:tc>
          <w:tcPr>
            <w:tcW w:w="893" w:type="pct"/>
            <w:tcBorders>
              <w:top w:val="nil"/>
              <w:left w:val="nil"/>
              <w:bottom w:val="single" w:sz="4" w:space="0" w:color="auto"/>
              <w:right w:val="single" w:sz="4" w:space="0" w:color="auto"/>
            </w:tcBorders>
            <w:noWrap/>
            <w:vAlign w:val="center"/>
            <w:hideMark/>
          </w:tcPr>
          <w:p w14:paraId="29A18AB3"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≤1380</w:t>
            </w:r>
          </w:p>
        </w:tc>
      </w:tr>
      <w:tr w:rsidR="00726163" w:rsidRPr="00726163" w14:paraId="328A0AE5" w14:textId="77777777" w:rsidTr="00292285">
        <w:trPr>
          <w:trHeight w:val="270"/>
        </w:trPr>
        <w:tc>
          <w:tcPr>
            <w:tcW w:w="4107" w:type="pct"/>
            <w:gridSpan w:val="2"/>
            <w:tcBorders>
              <w:top w:val="single" w:sz="4" w:space="0" w:color="auto"/>
              <w:left w:val="single" w:sz="4" w:space="0" w:color="auto"/>
              <w:bottom w:val="nil"/>
              <w:right w:val="single" w:sz="4" w:space="0" w:color="auto"/>
            </w:tcBorders>
            <w:noWrap/>
            <w:vAlign w:val="center"/>
            <w:hideMark/>
          </w:tcPr>
          <w:p w14:paraId="3FCC4663"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组分</w:t>
            </w:r>
          </w:p>
        </w:tc>
        <w:tc>
          <w:tcPr>
            <w:tcW w:w="893" w:type="pct"/>
            <w:tcBorders>
              <w:top w:val="single" w:sz="4" w:space="0" w:color="auto"/>
              <w:left w:val="single" w:sz="4" w:space="0" w:color="auto"/>
              <w:bottom w:val="nil"/>
              <w:right w:val="single" w:sz="4" w:space="0" w:color="auto"/>
            </w:tcBorders>
            <w:noWrap/>
            <w:vAlign w:val="center"/>
            <w:hideMark/>
          </w:tcPr>
          <w:p w14:paraId="1AB52646"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r>
      <w:tr w:rsidR="00726163" w:rsidRPr="00726163" w14:paraId="1E163D04" w14:textId="77777777" w:rsidTr="00292285">
        <w:trPr>
          <w:trHeight w:val="405"/>
        </w:trPr>
        <w:tc>
          <w:tcPr>
            <w:tcW w:w="132" w:type="pct"/>
            <w:tcBorders>
              <w:top w:val="nil"/>
              <w:left w:val="single" w:sz="4" w:space="0" w:color="auto"/>
              <w:bottom w:val="nil"/>
              <w:right w:val="nil"/>
            </w:tcBorders>
            <w:noWrap/>
            <w:vAlign w:val="center"/>
            <w:hideMark/>
          </w:tcPr>
          <w:p w14:paraId="74D0C742"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c>
          <w:tcPr>
            <w:tcW w:w="3975" w:type="pct"/>
            <w:tcBorders>
              <w:top w:val="nil"/>
              <w:left w:val="nil"/>
              <w:bottom w:val="nil"/>
              <w:right w:val="single" w:sz="4" w:space="0" w:color="auto"/>
            </w:tcBorders>
            <w:noWrap/>
            <w:vAlign w:val="center"/>
            <w:hideMark/>
          </w:tcPr>
          <w:p w14:paraId="0879278A" w14:textId="77777777" w:rsidR="00726163" w:rsidRPr="00726163" w:rsidRDefault="00726163" w:rsidP="003E3461">
            <w:pPr>
              <w:ind w:firstLineChars="150" w:firstLine="48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C3</w:t>
            </w:r>
            <w:r w:rsidRPr="00726163">
              <w:rPr>
                <w:rFonts w:ascii="Times New Roman" w:eastAsia="仿宋_GB2312" w:hAnsi="Times New Roman"/>
                <w:color w:val="000000"/>
                <w:kern w:val="0"/>
                <w:sz w:val="32"/>
                <w:szCs w:val="32"/>
              </w:rPr>
              <w:t>烃类组分（体积分数）</w:t>
            </w:r>
            <w:r w:rsidRPr="00726163">
              <w:rPr>
                <w:rFonts w:ascii="Times New Roman" w:eastAsia="仿宋_GB2312" w:hAnsi="Times New Roman"/>
                <w:color w:val="000000"/>
                <w:kern w:val="0"/>
                <w:sz w:val="32"/>
                <w:szCs w:val="32"/>
              </w:rPr>
              <w:t>/%</w:t>
            </w:r>
          </w:p>
        </w:tc>
        <w:tc>
          <w:tcPr>
            <w:tcW w:w="893" w:type="pct"/>
            <w:tcBorders>
              <w:top w:val="nil"/>
              <w:left w:val="single" w:sz="4" w:space="0" w:color="auto"/>
              <w:bottom w:val="nil"/>
              <w:right w:val="single" w:sz="4" w:space="0" w:color="auto"/>
            </w:tcBorders>
            <w:noWrap/>
            <w:vAlign w:val="center"/>
            <w:hideMark/>
          </w:tcPr>
          <w:p w14:paraId="2AEE96A7"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≥20</w:t>
            </w:r>
            <w:r w:rsidRPr="00726163">
              <w:rPr>
                <w:rFonts w:ascii="Times New Roman" w:eastAsia="仿宋_GB2312" w:hAnsi="Times New Roman"/>
                <w:color w:val="000000"/>
                <w:kern w:val="0"/>
                <w:sz w:val="32"/>
                <w:szCs w:val="32"/>
              </w:rPr>
              <w:t>且</w:t>
            </w:r>
            <w:r w:rsidRPr="00726163">
              <w:rPr>
                <w:rFonts w:ascii="Times New Roman" w:eastAsia="仿宋_GB2312" w:hAnsi="Times New Roman"/>
                <w:color w:val="000000"/>
                <w:kern w:val="0"/>
                <w:sz w:val="32"/>
                <w:szCs w:val="32"/>
              </w:rPr>
              <w:t>≤60</w:t>
            </w:r>
          </w:p>
        </w:tc>
      </w:tr>
      <w:tr w:rsidR="00726163" w:rsidRPr="00726163" w14:paraId="5F05B6F7" w14:textId="77777777" w:rsidTr="00292285">
        <w:trPr>
          <w:trHeight w:val="405"/>
        </w:trPr>
        <w:tc>
          <w:tcPr>
            <w:tcW w:w="132" w:type="pct"/>
            <w:tcBorders>
              <w:top w:val="nil"/>
              <w:left w:val="single" w:sz="4" w:space="0" w:color="auto"/>
              <w:bottom w:val="nil"/>
              <w:right w:val="nil"/>
            </w:tcBorders>
            <w:noWrap/>
            <w:vAlign w:val="center"/>
            <w:hideMark/>
          </w:tcPr>
          <w:p w14:paraId="562F8CB5"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c>
          <w:tcPr>
            <w:tcW w:w="3975" w:type="pct"/>
            <w:tcBorders>
              <w:top w:val="nil"/>
              <w:left w:val="nil"/>
              <w:bottom w:val="nil"/>
              <w:right w:val="single" w:sz="4" w:space="0" w:color="auto"/>
            </w:tcBorders>
            <w:noWrap/>
            <w:vAlign w:val="center"/>
            <w:hideMark/>
          </w:tcPr>
          <w:p w14:paraId="7935D5D1" w14:textId="77777777" w:rsidR="00726163" w:rsidRPr="00726163" w:rsidRDefault="00726163" w:rsidP="003E3461">
            <w:pPr>
              <w:ind w:firstLineChars="150" w:firstLine="48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C3+C4</w:t>
            </w:r>
            <w:r w:rsidRPr="00726163">
              <w:rPr>
                <w:rFonts w:ascii="Times New Roman" w:eastAsia="仿宋_GB2312" w:hAnsi="Times New Roman"/>
                <w:color w:val="000000"/>
                <w:kern w:val="0"/>
                <w:sz w:val="32"/>
                <w:szCs w:val="32"/>
              </w:rPr>
              <w:t>）烃类组分（体积分数）</w:t>
            </w:r>
            <w:r w:rsidRPr="00726163">
              <w:rPr>
                <w:rFonts w:ascii="Times New Roman" w:eastAsia="仿宋_GB2312" w:hAnsi="Times New Roman"/>
                <w:color w:val="000000"/>
                <w:kern w:val="0"/>
                <w:sz w:val="32"/>
                <w:szCs w:val="32"/>
              </w:rPr>
              <w:t>/%</w:t>
            </w:r>
          </w:p>
        </w:tc>
        <w:tc>
          <w:tcPr>
            <w:tcW w:w="893" w:type="pct"/>
            <w:tcBorders>
              <w:top w:val="nil"/>
              <w:left w:val="single" w:sz="4" w:space="0" w:color="auto"/>
              <w:bottom w:val="nil"/>
              <w:right w:val="single" w:sz="4" w:space="0" w:color="auto"/>
            </w:tcBorders>
            <w:noWrap/>
            <w:vAlign w:val="center"/>
            <w:hideMark/>
          </w:tcPr>
          <w:p w14:paraId="21589981"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≥95</w:t>
            </w:r>
          </w:p>
        </w:tc>
      </w:tr>
      <w:tr w:rsidR="00726163" w:rsidRPr="00726163" w14:paraId="4F7A5BDE" w14:textId="77777777" w:rsidTr="00292285">
        <w:trPr>
          <w:trHeight w:val="405"/>
        </w:trPr>
        <w:tc>
          <w:tcPr>
            <w:tcW w:w="132" w:type="pct"/>
            <w:tcBorders>
              <w:top w:val="nil"/>
              <w:left w:val="single" w:sz="4" w:space="0" w:color="auto"/>
              <w:bottom w:val="single" w:sz="4" w:space="0" w:color="auto"/>
              <w:right w:val="nil"/>
            </w:tcBorders>
            <w:noWrap/>
            <w:vAlign w:val="center"/>
            <w:hideMark/>
          </w:tcPr>
          <w:p w14:paraId="7948F80B"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c>
          <w:tcPr>
            <w:tcW w:w="3975" w:type="pct"/>
            <w:tcBorders>
              <w:top w:val="nil"/>
              <w:left w:val="nil"/>
              <w:bottom w:val="single" w:sz="4" w:space="0" w:color="auto"/>
              <w:right w:val="single" w:sz="4" w:space="0" w:color="auto"/>
            </w:tcBorders>
            <w:noWrap/>
            <w:vAlign w:val="center"/>
            <w:hideMark/>
          </w:tcPr>
          <w:p w14:paraId="7F60C7C9" w14:textId="77777777" w:rsidR="00726163" w:rsidRPr="00726163" w:rsidRDefault="00726163" w:rsidP="003E3461">
            <w:pPr>
              <w:ind w:firstLineChars="150" w:firstLine="48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C5</w:t>
            </w:r>
            <w:r w:rsidRPr="00726163">
              <w:rPr>
                <w:rFonts w:ascii="Times New Roman" w:eastAsia="仿宋_GB2312" w:hAnsi="Times New Roman"/>
                <w:color w:val="000000"/>
                <w:kern w:val="0"/>
                <w:sz w:val="32"/>
                <w:szCs w:val="32"/>
              </w:rPr>
              <w:t>及</w:t>
            </w:r>
            <w:r w:rsidRPr="00726163">
              <w:rPr>
                <w:rFonts w:ascii="Times New Roman" w:eastAsia="仿宋_GB2312" w:hAnsi="Times New Roman"/>
                <w:color w:val="000000"/>
                <w:kern w:val="0"/>
                <w:sz w:val="32"/>
                <w:szCs w:val="32"/>
              </w:rPr>
              <w:t>C5</w:t>
            </w:r>
            <w:r w:rsidRPr="00726163">
              <w:rPr>
                <w:rFonts w:ascii="Times New Roman" w:eastAsia="仿宋_GB2312" w:hAnsi="Times New Roman"/>
                <w:color w:val="000000"/>
                <w:kern w:val="0"/>
                <w:sz w:val="32"/>
                <w:szCs w:val="32"/>
              </w:rPr>
              <w:t>以上烃类组分（体积分数）</w:t>
            </w:r>
            <w:r w:rsidRPr="00726163">
              <w:rPr>
                <w:rFonts w:ascii="Times New Roman" w:eastAsia="仿宋_GB2312" w:hAnsi="Times New Roman"/>
                <w:color w:val="000000"/>
                <w:kern w:val="0"/>
                <w:sz w:val="32"/>
                <w:szCs w:val="32"/>
              </w:rPr>
              <w:t>/%</w:t>
            </w:r>
          </w:p>
        </w:tc>
        <w:tc>
          <w:tcPr>
            <w:tcW w:w="893" w:type="pct"/>
            <w:tcBorders>
              <w:top w:val="nil"/>
              <w:left w:val="single" w:sz="4" w:space="0" w:color="auto"/>
              <w:bottom w:val="single" w:sz="4" w:space="0" w:color="auto"/>
              <w:right w:val="single" w:sz="4" w:space="0" w:color="auto"/>
            </w:tcBorders>
            <w:noWrap/>
            <w:vAlign w:val="center"/>
            <w:hideMark/>
          </w:tcPr>
          <w:p w14:paraId="3EDD6BB9"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≤3.0</w:t>
            </w:r>
          </w:p>
        </w:tc>
      </w:tr>
      <w:tr w:rsidR="00726163" w:rsidRPr="00726163" w14:paraId="4C5219D1" w14:textId="77777777" w:rsidTr="00292285">
        <w:trPr>
          <w:trHeight w:val="270"/>
        </w:trPr>
        <w:tc>
          <w:tcPr>
            <w:tcW w:w="4107" w:type="pct"/>
            <w:gridSpan w:val="2"/>
            <w:tcBorders>
              <w:top w:val="single" w:sz="4" w:space="0" w:color="auto"/>
              <w:left w:val="single" w:sz="4" w:space="0" w:color="auto"/>
              <w:bottom w:val="nil"/>
              <w:right w:val="single" w:sz="4" w:space="0" w:color="auto"/>
            </w:tcBorders>
            <w:noWrap/>
            <w:vAlign w:val="center"/>
            <w:hideMark/>
          </w:tcPr>
          <w:p w14:paraId="24232E50"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残留物</w:t>
            </w:r>
          </w:p>
        </w:tc>
        <w:tc>
          <w:tcPr>
            <w:tcW w:w="893" w:type="pct"/>
            <w:tcBorders>
              <w:top w:val="nil"/>
              <w:left w:val="single" w:sz="4" w:space="0" w:color="auto"/>
              <w:bottom w:val="nil"/>
              <w:right w:val="single" w:sz="4" w:space="0" w:color="auto"/>
            </w:tcBorders>
            <w:noWrap/>
            <w:vAlign w:val="center"/>
            <w:hideMark/>
          </w:tcPr>
          <w:p w14:paraId="74B484A8"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r>
      <w:tr w:rsidR="00726163" w:rsidRPr="00726163" w14:paraId="500D4B27" w14:textId="77777777" w:rsidTr="00292285">
        <w:trPr>
          <w:trHeight w:val="405"/>
        </w:trPr>
        <w:tc>
          <w:tcPr>
            <w:tcW w:w="124" w:type="pct"/>
            <w:tcBorders>
              <w:top w:val="nil"/>
              <w:left w:val="single" w:sz="4" w:space="0" w:color="auto"/>
              <w:bottom w:val="nil"/>
              <w:right w:val="nil"/>
            </w:tcBorders>
            <w:noWrap/>
            <w:vAlign w:val="center"/>
            <w:hideMark/>
          </w:tcPr>
          <w:p w14:paraId="04B53947"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c>
          <w:tcPr>
            <w:tcW w:w="3983" w:type="pct"/>
            <w:tcBorders>
              <w:top w:val="nil"/>
              <w:left w:val="nil"/>
              <w:bottom w:val="nil"/>
              <w:right w:val="single" w:sz="4" w:space="0" w:color="auto"/>
            </w:tcBorders>
            <w:noWrap/>
            <w:vAlign w:val="center"/>
            <w:hideMark/>
          </w:tcPr>
          <w:p w14:paraId="3762FDCF" w14:textId="77777777" w:rsidR="00726163" w:rsidRPr="00726163" w:rsidRDefault="00726163" w:rsidP="003E3461">
            <w:pPr>
              <w:ind w:firstLineChars="150" w:firstLine="48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蒸发残留物（</w:t>
            </w:r>
            <w:r w:rsidRPr="00726163">
              <w:rPr>
                <w:rFonts w:ascii="Times New Roman" w:eastAsia="仿宋_GB2312" w:hAnsi="Times New Roman"/>
                <w:color w:val="000000"/>
                <w:kern w:val="0"/>
                <w:sz w:val="32"/>
                <w:szCs w:val="32"/>
              </w:rPr>
              <w:t>mL/100mL</w:t>
            </w:r>
            <w:r w:rsidRPr="00726163">
              <w:rPr>
                <w:rFonts w:ascii="Times New Roman" w:eastAsia="仿宋_GB2312" w:hAnsi="Times New Roman"/>
                <w:color w:val="000000"/>
                <w:kern w:val="0"/>
                <w:sz w:val="32"/>
                <w:szCs w:val="32"/>
              </w:rPr>
              <w:t>）</w:t>
            </w:r>
          </w:p>
        </w:tc>
        <w:tc>
          <w:tcPr>
            <w:tcW w:w="893" w:type="pct"/>
            <w:tcBorders>
              <w:top w:val="nil"/>
              <w:left w:val="single" w:sz="4" w:space="0" w:color="auto"/>
              <w:bottom w:val="nil"/>
              <w:right w:val="single" w:sz="4" w:space="0" w:color="auto"/>
            </w:tcBorders>
            <w:noWrap/>
            <w:vAlign w:val="center"/>
            <w:hideMark/>
          </w:tcPr>
          <w:p w14:paraId="6BAFBDB2"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≤0.05</w:t>
            </w:r>
          </w:p>
        </w:tc>
      </w:tr>
      <w:tr w:rsidR="00726163" w:rsidRPr="00726163" w14:paraId="1FAB6D2D" w14:textId="77777777" w:rsidTr="00292285">
        <w:trPr>
          <w:trHeight w:val="405"/>
        </w:trPr>
        <w:tc>
          <w:tcPr>
            <w:tcW w:w="124" w:type="pct"/>
            <w:tcBorders>
              <w:top w:val="nil"/>
              <w:left w:val="single" w:sz="4" w:space="0" w:color="auto"/>
              <w:bottom w:val="single" w:sz="4" w:space="0" w:color="auto"/>
              <w:right w:val="nil"/>
            </w:tcBorders>
            <w:noWrap/>
            <w:vAlign w:val="center"/>
            <w:hideMark/>
          </w:tcPr>
          <w:p w14:paraId="2908E9D1"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c>
          <w:tcPr>
            <w:tcW w:w="3983" w:type="pct"/>
            <w:tcBorders>
              <w:top w:val="nil"/>
              <w:left w:val="nil"/>
              <w:bottom w:val="single" w:sz="4" w:space="0" w:color="auto"/>
              <w:right w:val="single" w:sz="4" w:space="0" w:color="auto"/>
            </w:tcBorders>
            <w:noWrap/>
            <w:vAlign w:val="center"/>
            <w:hideMark/>
          </w:tcPr>
          <w:p w14:paraId="55FEB7D0" w14:textId="77777777" w:rsidR="00726163" w:rsidRPr="00726163" w:rsidRDefault="00726163" w:rsidP="003E3461">
            <w:pPr>
              <w:ind w:firstLineChars="150" w:firstLine="48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油渍观察</w:t>
            </w:r>
          </w:p>
        </w:tc>
        <w:tc>
          <w:tcPr>
            <w:tcW w:w="893" w:type="pct"/>
            <w:tcBorders>
              <w:top w:val="nil"/>
              <w:left w:val="single" w:sz="4" w:space="0" w:color="auto"/>
              <w:bottom w:val="single" w:sz="4" w:space="0" w:color="auto"/>
              <w:right w:val="single" w:sz="4" w:space="0" w:color="auto"/>
            </w:tcBorders>
            <w:noWrap/>
            <w:vAlign w:val="center"/>
            <w:hideMark/>
          </w:tcPr>
          <w:p w14:paraId="27DE8BF1"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通过</w:t>
            </w:r>
          </w:p>
        </w:tc>
      </w:tr>
      <w:tr w:rsidR="00726163" w:rsidRPr="00726163" w14:paraId="17C6229E" w14:textId="77777777" w:rsidTr="00292285">
        <w:trPr>
          <w:trHeight w:val="405"/>
        </w:trPr>
        <w:tc>
          <w:tcPr>
            <w:tcW w:w="4107" w:type="pct"/>
            <w:gridSpan w:val="2"/>
            <w:tcBorders>
              <w:top w:val="nil"/>
              <w:left w:val="single" w:sz="4" w:space="0" w:color="auto"/>
              <w:bottom w:val="single" w:sz="4" w:space="0" w:color="auto"/>
              <w:right w:val="single" w:sz="4" w:space="0" w:color="auto"/>
            </w:tcBorders>
            <w:noWrap/>
            <w:vAlign w:val="center"/>
            <w:hideMark/>
          </w:tcPr>
          <w:p w14:paraId="0E881BE9"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铜片腐蚀（</w:t>
            </w:r>
            <w:r w:rsidRPr="00726163">
              <w:rPr>
                <w:rFonts w:ascii="Times New Roman" w:eastAsia="仿宋_GB2312" w:hAnsi="Times New Roman"/>
                <w:color w:val="000000"/>
                <w:kern w:val="0"/>
                <w:sz w:val="32"/>
                <w:szCs w:val="32"/>
              </w:rPr>
              <w:t>40℃</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1h</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级</w:t>
            </w:r>
          </w:p>
        </w:tc>
        <w:tc>
          <w:tcPr>
            <w:tcW w:w="893" w:type="pct"/>
            <w:tcBorders>
              <w:top w:val="nil"/>
              <w:left w:val="nil"/>
              <w:bottom w:val="single" w:sz="4" w:space="0" w:color="auto"/>
              <w:right w:val="single" w:sz="4" w:space="0" w:color="auto"/>
            </w:tcBorders>
            <w:noWrap/>
            <w:vAlign w:val="center"/>
            <w:hideMark/>
          </w:tcPr>
          <w:p w14:paraId="16A374D7"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≤1</w:t>
            </w:r>
          </w:p>
        </w:tc>
      </w:tr>
      <w:tr w:rsidR="00726163" w:rsidRPr="00726163" w14:paraId="22BE8504" w14:textId="77777777" w:rsidTr="00292285">
        <w:trPr>
          <w:trHeight w:val="405"/>
        </w:trPr>
        <w:tc>
          <w:tcPr>
            <w:tcW w:w="4107" w:type="pct"/>
            <w:gridSpan w:val="2"/>
            <w:tcBorders>
              <w:top w:val="nil"/>
              <w:left w:val="single" w:sz="4" w:space="0" w:color="auto"/>
              <w:bottom w:val="single" w:sz="4" w:space="0" w:color="auto"/>
              <w:right w:val="single" w:sz="4" w:space="0" w:color="auto"/>
            </w:tcBorders>
            <w:noWrap/>
            <w:vAlign w:val="center"/>
            <w:hideMark/>
          </w:tcPr>
          <w:p w14:paraId="272AB7F4"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总硫含量（</w:t>
            </w:r>
            <w:r w:rsidRPr="00726163">
              <w:rPr>
                <w:rFonts w:ascii="Times New Roman" w:eastAsia="仿宋_GB2312" w:hAnsi="Times New Roman"/>
                <w:color w:val="000000"/>
                <w:kern w:val="0"/>
                <w:sz w:val="32"/>
                <w:szCs w:val="32"/>
              </w:rPr>
              <w:t>mg/m</w:t>
            </w:r>
            <w:r w:rsidRPr="00726163">
              <w:rPr>
                <w:rFonts w:ascii="Times New Roman" w:eastAsia="仿宋_GB2312" w:hAnsi="Times New Roman"/>
                <w:color w:val="000000"/>
                <w:kern w:val="0"/>
                <w:sz w:val="32"/>
                <w:szCs w:val="32"/>
                <w:vertAlign w:val="superscript"/>
              </w:rPr>
              <w:t>3</w:t>
            </w:r>
            <w:r w:rsidRPr="00726163">
              <w:rPr>
                <w:rFonts w:ascii="Times New Roman" w:eastAsia="仿宋_GB2312" w:hAnsi="Times New Roman"/>
                <w:color w:val="000000"/>
                <w:kern w:val="0"/>
                <w:sz w:val="32"/>
                <w:szCs w:val="32"/>
              </w:rPr>
              <w:t>）</w:t>
            </w:r>
          </w:p>
        </w:tc>
        <w:tc>
          <w:tcPr>
            <w:tcW w:w="893" w:type="pct"/>
            <w:tcBorders>
              <w:top w:val="nil"/>
              <w:left w:val="nil"/>
              <w:bottom w:val="single" w:sz="4" w:space="0" w:color="auto"/>
              <w:right w:val="single" w:sz="4" w:space="0" w:color="auto"/>
            </w:tcBorders>
            <w:noWrap/>
            <w:vAlign w:val="center"/>
            <w:hideMark/>
          </w:tcPr>
          <w:p w14:paraId="2CDFDA18"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≤343</w:t>
            </w:r>
          </w:p>
        </w:tc>
      </w:tr>
      <w:tr w:rsidR="00726163" w:rsidRPr="00726163" w14:paraId="5DD34507" w14:textId="77777777" w:rsidTr="00292285">
        <w:trPr>
          <w:trHeight w:val="270"/>
        </w:trPr>
        <w:tc>
          <w:tcPr>
            <w:tcW w:w="4107" w:type="pct"/>
            <w:gridSpan w:val="2"/>
            <w:tcBorders>
              <w:top w:val="single" w:sz="4" w:space="0" w:color="auto"/>
              <w:left w:val="single" w:sz="4" w:space="0" w:color="auto"/>
              <w:bottom w:val="nil"/>
              <w:right w:val="single" w:sz="4" w:space="0" w:color="auto"/>
            </w:tcBorders>
            <w:noWrap/>
            <w:vAlign w:val="center"/>
            <w:hideMark/>
          </w:tcPr>
          <w:p w14:paraId="0201AA12"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硫化氢（需满足下列要求之一）</w:t>
            </w:r>
          </w:p>
        </w:tc>
        <w:tc>
          <w:tcPr>
            <w:tcW w:w="893" w:type="pct"/>
            <w:tcBorders>
              <w:top w:val="nil"/>
              <w:left w:val="single" w:sz="4" w:space="0" w:color="auto"/>
              <w:bottom w:val="nil"/>
              <w:right w:val="single" w:sz="4" w:space="0" w:color="auto"/>
            </w:tcBorders>
            <w:noWrap/>
            <w:vAlign w:val="center"/>
            <w:hideMark/>
          </w:tcPr>
          <w:p w14:paraId="14E6302F"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r>
      <w:tr w:rsidR="00726163" w:rsidRPr="00726163" w14:paraId="3A989BC2" w14:textId="77777777" w:rsidTr="00292285">
        <w:trPr>
          <w:trHeight w:val="405"/>
        </w:trPr>
        <w:tc>
          <w:tcPr>
            <w:tcW w:w="124" w:type="pct"/>
            <w:tcBorders>
              <w:top w:val="nil"/>
              <w:left w:val="single" w:sz="4" w:space="0" w:color="auto"/>
              <w:bottom w:val="nil"/>
              <w:right w:val="nil"/>
            </w:tcBorders>
            <w:noWrap/>
            <w:vAlign w:val="center"/>
            <w:hideMark/>
          </w:tcPr>
          <w:p w14:paraId="0D0C191A"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c>
          <w:tcPr>
            <w:tcW w:w="3983" w:type="pct"/>
            <w:tcBorders>
              <w:top w:val="nil"/>
              <w:left w:val="nil"/>
              <w:bottom w:val="nil"/>
              <w:right w:val="single" w:sz="4" w:space="0" w:color="auto"/>
            </w:tcBorders>
            <w:noWrap/>
            <w:vAlign w:val="center"/>
            <w:hideMark/>
          </w:tcPr>
          <w:p w14:paraId="242BC214" w14:textId="77777777" w:rsidR="00726163" w:rsidRPr="00726163" w:rsidRDefault="00726163" w:rsidP="003E3461">
            <w:pPr>
              <w:ind w:firstLineChars="150" w:firstLine="48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乙酸铅法</w:t>
            </w:r>
          </w:p>
        </w:tc>
        <w:tc>
          <w:tcPr>
            <w:tcW w:w="893" w:type="pct"/>
            <w:tcBorders>
              <w:top w:val="nil"/>
              <w:left w:val="single" w:sz="4" w:space="0" w:color="auto"/>
              <w:bottom w:val="nil"/>
              <w:right w:val="single" w:sz="4" w:space="0" w:color="auto"/>
            </w:tcBorders>
            <w:noWrap/>
            <w:vAlign w:val="center"/>
            <w:hideMark/>
          </w:tcPr>
          <w:p w14:paraId="3DC1459E"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无</w:t>
            </w:r>
          </w:p>
        </w:tc>
      </w:tr>
      <w:tr w:rsidR="00726163" w:rsidRPr="00726163" w14:paraId="71D0ADD7" w14:textId="77777777" w:rsidTr="00292285">
        <w:trPr>
          <w:trHeight w:val="405"/>
        </w:trPr>
        <w:tc>
          <w:tcPr>
            <w:tcW w:w="124" w:type="pct"/>
            <w:tcBorders>
              <w:top w:val="nil"/>
              <w:left w:val="single" w:sz="4" w:space="0" w:color="auto"/>
              <w:bottom w:val="single" w:sz="4" w:space="0" w:color="auto"/>
              <w:right w:val="nil"/>
            </w:tcBorders>
            <w:noWrap/>
            <w:vAlign w:val="center"/>
            <w:hideMark/>
          </w:tcPr>
          <w:p w14:paraId="0B9C47C2"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 xml:space="preserve">　</w:t>
            </w:r>
          </w:p>
        </w:tc>
        <w:tc>
          <w:tcPr>
            <w:tcW w:w="3983" w:type="pct"/>
            <w:tcBorders>
              <w:top w:val="nil"/>
              <w:left w:val="nil"/>
              <w:bottom w:val="single" w:sz="4" w:space="0" w:color="auto"/>
              <w:right w:val="single" w:sz="4" w:space="0" w:color="auto"/>
            </w:tcBorders>
            <w:noWrap/>
            <w:vAlign w:val="center"/>
            <w:hideMark/>
          </w:tcPr>
          <w:p w14:paraId="05798EA2" w14:textId="77777777" w:rsidR="00726163" w:rsidRPr="00726163" w:rsidRDefault="00726163" w:rsidP="003E3461">
            <w:pPr>
              <w:ind w:firstLineChars="150" w:firstLine="480"/>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层析法</w:t>
            </w:r>
            <w:r w:rsidRPr="00726163">
              <w:rPr>
                <w:rFonts w:ascii="Times New Roman" w:eastAsia="仿宋_GB2312" w:hAnsi="Times New Roman"/>
                <w:color w:val="000000"/>
                <w:kern w:val="0"/>
                <w:sz w:val="32"/>
                <w:szCs w:val="32"/>
              </w:rPr>
              <w:t>/(mg/m</w:t>
            </w:r>
            <w:r w:rsidRPr="00726163">
              <w:rPr>
                <w:rFonts w:ascii="Times New Roman" w:eastAsia="仿宋_GB2312" w:hAnsi="Times New Roman"/>
                <w:color w:val="000000"/>
                <w:kern w:val="0"/>
                <w:sz w:val="32"/>
                <w:szCs w:val="32"/>
                <w:vertAlign w:val="superscript"/>
              </w:rPr>
              <w:t>3</w:t>
            </w:r>
            <w:r w:rsidRPr="00726163">
              <w:rPr>
                <w:rFonts w:ascii="Times New Roman" w:eastAsia="仿宋_GB2312" w:hAnsi="Times New Roman"/>
                <w:color w:val="000000"/>
                <w:kern w:val="0"/>
                <w:sz w:val="32"/>
                <w:szCs w:val="32"/>
              </w:rPr>
              <w:t>)</w:t>
            </w:r>
          </w:p>
        </w:tc>
        <w:tc>
          <w:tcPr>
            <w:tcW w:w="893" w:type="pct"/>
            <w:tcBorders>
              <w:top w:val="nil"/>
              <w:left w:val="single" w:sz="4" w:space="0" w:color="auto"/>
              <w:bottom w:val="single" w:sz="4" w:space="0" w:color="auto"/>
              <w:right w:val="single" w:sz="4" w:space="0" w:color="auto"/>
            </w:tcBorders>
            <w:noWrap/>
            <w:vAlign w:val="center"/>
            <w:hideMark/>
          </w:tcPr>
          <w:p w14:paraId="23619653"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≤10</w:t>
            </w:r>
          </w:p>
        </w:tc>
      </w:tr>
      <w:tr w:rsidR="00726163" w:rsidRPr="00726163" w14:paraId="6AD31CBD" w14:textId="77777777" w:rsidTr="00292285">
        <w:trPr>
          <w:trHeight w:val="405"/>
        </w:trPr>
        <w:tc>
          <w:tcPr>
            <w:tcW w:w="4107" w:type="pct"/>
            <w:gridSpan w:val="2"/>
            <w:tcBorders>
              <w:top w:val="single" w:sz="4" w:space="0" w:color="auto"/>
              <w:left w:val="single" w:sz="4" w:space="0" w:color="auto"/>
              <w:bottom w:val="single" w:sz="4" w:space="0" w:color="auto"/>
              <w:right w:val="single" w:sz="4" w:space="0" w:color="auto"/>
            </w:tcBorders>
            <w:noWrap/>
            <w:vAlign w:val="center"/>
            <w:hideMark/>
          </w:tcPr>
          <w:p w14:paraId="6DA9FA14"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游离水</w:t>
            </w:r>
          </w:p>
        </w:tc>
        <w:tc>
          <w:tcPr>
            <w:tcW w:w="893" w:type="pct"/>
            <w:tcBorders>
              <w:top w:val="nil"/>
              <w:left w:val="nil"/>
              <w:bottom w:val="single" w:sz="4" w:space="0" w:color="auto"/>
              <w:right w:val="single" w:sz="4" w:space="0" w:color="auto"/>
            </w:tcBorders>
            <w:noWrap/>
            <w:vAlign w:val="center"/>
            <w:hideMark/>
          </w:tcPr>
          <w:p w14:paraId="2CEBBD8A"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无</w:t>
            </w:r>
          </w:p>
        </w:tc>
      </w:tr>
    </w:tbl>
    <w:p w14:paraId="6C544154" w14:textId="77777777" w:rsidR="004931A2" w:rsidRDefault="004931A2" w:rsidP="003E3461">
      <w:pPr>
        <w:spacing w:line="580" w:lineRule="exact"/>
        <w:ind w:firstLineChars="200" w:firstLine="640"/>
        <w:rPr>
          <w:rFonts w:ascii="Times New Roman" w:eastAsia="黑体" w:hAnsi="Times New Roman"/>
          <w:color w:val="000000"/>
          <w:sz w:val="32"/>
          <w:szCs w:val="32"/>
        </w:rPr>
      </w:pPr>
    </w:p>
    <w:p w14:paraId="20DF62B7" w14:textId="77777777" w:rsidR="004931A2" w:rsidRDefault="004931A2" w:rsidP="003E3461">
      <w:pPr>
        <w:spacing w:line="580" w:lineRule="exact"/>
        <w:ind w:firstLineChars="200" w:firstLine="640"/>
        <w:rPr>
          <w:rFonts w:ascii="Times New Roman" w:eastAsia="黑体" w:hAnsi="Times New Roman"/>
          <w:color w:val="000000"/>
          <w:sz w:val="32"/>
          <w:szCs w:val="32"/>
        </w:rPr>
      </w:pPr>
    </w:p>
    <w:p w14:paraId="28104EF2" w14:textId="77777777" w:rsidR="004931A2" w:rsidRDefault="004931A2" w:rsidP="003E3461">
      <w:pPr>
        <w:spacing w:line="580" w:lineRule="exact"/>
        <w:ind w:firstLineChars="200" w:firstLine="640"/>
        <w:rPr>
          <w:rFonts w:ascii="Times New Roman" w:eastAsia="黑体" w:hAnsi="Times New Roman"/>
          <w:color w:val="000000"/>
          <w:sz w:val="32"/>
          <w:szCs w:val="32"/>
        </w:rPr>
      </w:pPr>
    </w:p>
    <w:p w14:paraId="5D3FE051" w14:textId="77777777" w:rsidR="004931A2" w:rsidRDefault="004931A2" w:rsidP="003E3461">
      <w:pPr>
        <w:spacing w:line="580" w:lineRule="exact"/>
        <w:ind w:firstLineChars="200" w:firstLine="640"/>
        <w:rPr>
          <w:rFonts w:ascii="Times New Roman" w:eastAsia="黑体" w:hAnsi="Times New Roman"/>
          <w:color w:val="000000"/>
          <w:sz w:val="32"/>
          <w:szCs w:val="32"/>
        </w:rPr>
      </w:pPr>
    </w:p>
    <w:p w14:paraId="4002750C" w14:textId="237BBE4A"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4.2 </w:t>
      </w:r>
      <w:r w:rsidRPr="00726163">
        <w:rPr>
          <w:rFonts w:ascii="Times New Roman" w:eastAsia="黑体" w:hAnsi="Times New Roman"/>
          <w:color w:val="000000"/>
          <w:sz w:val="32"/>
          <w:szCs w:val="32"/>
        </w:rPr>
        <w:t>替代品质量差异与升贴水</w:t>
      </w:r>
    </w:p>
    <w:tbl>
      <w:tblPr>
        <w:tblW w:w="52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6963"/>
        <w:gridCol w:w="2545"/>
      </w:tblGrid>
      <w:tr w:rsidR="00726163" w:rsidRPr="00726163" w14:paraId="013A96DD" w14:textId="77777777" w:rsidTr="008C7B39">
        <w:trPr>
          <w:trHeight w:val="27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5126E6"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序号</w:t>
            </w:r>
          </w:p>
        </w:tc>
        <w:tc>
          <w:tcPr>
            <w:tcW w:w="325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4E21B7"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项目</w:t>
            </w:r>
          </w:p>
        </w:tc>
        <w:tc>
          <w:tcPr>
            <w:tcW w:w="132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70535B"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升扣价（元</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吨）</w:t>
            </w:r>
          </w:p>
        </w:tc>
      </w:tr>
      <w:tr w:rsidR="00726163" w:rsidRPr="00726163" w14:paraId="7674C8E3" w14:textId="77777777" w:rsidTr="008C7B39">
        <w:trPr>
          <w:trHeight w:val="3784"/>
          <w:jc w:val="center"/>
        </w:trPr>
        <w:tc>
          <w:tcPr>
            <w:tcW w:w="420" w:type="pct"/>
            <w:tcBorders>
              <w:top w:val="single" w:sz="4" w:space="0" w:color="000000"/>
              <w:left w:val="single" w:sz="4" w:space="0" w:color="000000"/>
              <w:bottom w:val="single" w:sz="4" w:space="0" w:color="000000"/>
              <w:right w:val="single" w:sz="4" w:space="0" w:color="000000"/>
            </w:tcBorders>
            <w:noWrap/>
            <w:vAlign w:val="center"/>
            <w:hideMark/>
          </w:tcPr>
          <w:p w14:paraId="3FBA56BB"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1</w:t>
            </w:r>
          </w:p>
        </w:tc>
        <w:tc>
          <w:tcPr>
            <w:tcW w:w="3259" w:type="pct"/>
            <w:tcBorders>
              <w:top w:val="single" w:sz="4" w:space="0" w:color="000000"/>
              <w:left w:val="single" w:sz="4" w:space="0" w:color="000000"/>
              <w:bottom w:val="single" w:sz="4" w:space="0" w:color="000000"/>
              <w:right w:val="single" w:sz="4" w:space="0" w:color="000000"/>
            </w:tcBorders>
            <w:noWrap/>
            <w:vAlign w:val="center"/>
            <w:hideMark/>
          </w:tcPr>
          <w:p w14:paraId="6A9E117C"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同时满足下述指标要求：</w:t>
            </w:r>
          </w:p>
          <w:p w14:paraId="4D11A746"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1</w:t>
            </w:r>
            <w:r w:rsidRPr="00726163">
              <w:rPr>
                <w:rFonts w:ascii="Times New Roman" w:eastAsia="仿宋_GB2312" w:hAnsi="Times New Roman"/>
                <w:color w:val="000000"/>
                <w:kern w:val="0"/>
                <w:sz w:val="32"/>
                <w:szCs w:val="32"/>
              </w:rPr>
              <w:t>）蒸气压（</w:t>
            </w:r>
            <w:r w:rsidRPr="00726163">
              <w:rPr>
                <w:rFonts w:ascii="Times New Roman" w:eastAsia="仿宋_GB2312" w:hAnsi="Times New Roman"/>
                <w:color w:val="000000"/>
                <w:kern w:val="0"/>
                <w:sz w:val="32"/>
                <w:szCs w:val="32"/>
              </w:rPr>
              <w:t>37.8℃</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≤485 kPa</w:t>
            </w:r>
          </w:p>
          <w:p w14:paraId="394B117B"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2</w:t>
            </w:r>
            <w:r w:rsidRPr="00726163">
              <w:rPr>
                <w:rFonts w:ascii="Times New Roman" w:eastAsia="仿宋_GB2312" w:hAnsi="Times New Roman"/>
                <w:color w:val="000000"/>
                <w:kern w:val="0"/>
                <w:sz w:val="32"/>
                <w:szCs w:val="32"/>
              </w:rPr>
              <w:t>）组分</w:t>
            </w:r>
          </w:p>
          <w:p w14:paraId="0FEA687D"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C3</w:t>
            </w:r>
            <w:r w:rsidRPr="00726163">
              <w:rPr>
                <w:rFonts w:ascii="Times New Roman" w:eastAsia="仿宋_GB2312" w:hAnsi="Times New Roman"/>
                <w:color w:val="000000"/>
                <w:kern w:val="0"/>
                <w:sz w:val="32"/>
                <w:szCs w:val="32"/>
              </w:rPr>
              <w:t>烃类组分（体积分数）</w:t>
            </w:r>
            <w:r w:rsidRPr="00726163">
              <w:rPr>
                <w:rFonts w:ascii="Times New Roman" w:eastAsia="仿宋_GB2312" w:hAnsi="Times New Roman"/>
                <w:color w:val="000000"/>
                <w:kern w:val="0"/>
                <w:sz w:val="32"/>
                <w:szCs w:val="32"/>
              </w:rPr>
              <w:t>≤5%</w:t>
            </w:r>
          </w:p>
          <w:p w14:paraId="2EB73DDB"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(C3+C4)</w:t>
            </w:r>
            <w:r w:rsidRPr="00726163">
              <w:rPr>
                <w:rFonts w:ascii="Times New Roman" w:eastAsia="仿宋_GB2312" w:hAnsi="Times New Roman"/>
                <w:color w:val="000000"/>
                <w:kern w:val="0"/>
                <w:sz w:val="32"/>
                <w:szCs w:val="32"/>
              </w:rPr>
              <w:t>烃类组分（体积分数）</w:t>
            </w:r>
            <w:r w:rsidRPr="00726163">
              <w:rPr>
                <w:rFonts w:ascii="Times New Roman" w:eastAsia="仿宋_GB2312" w:hAnsi="Times New Roman"/>
                <w:color w:val="000000"/>
                <w:kern w:val="0"/>
                <w:sz w:val="32"/>
                <w:szCs w:val="32"/>
              </w:rPr>
              <w:t>≥95%</w:t>
            </w:r>
          </w:p>
          <w:p w14:paraId="46CCC81C"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C5</w:t>
            </w:r>
            <w:r w:rsidRPr="00726163">
              <w:rPr>
                <w:rFonts w:ascii="Times New Roman" w:eastAsia="仿宋_GB2312" w:hAnsi="Times New Roman"/>
                <w:color w:val="000000"/>
                <w:kern w:val="0"/>
                <w:sz w:val="32"/>
                <w:szCs w:val="32"/>
              </w:rPr>
              <w:t>及</w:t>
            </w:r>
            <w:r w:rsidRPr="00726163">
              <w:rPr>
                <w:rFonts w:ascii="Times New Roman" w:eastAsia="仿宋_GB2312" w:hAnsi="Times New Roman"/>
                <w:color w:val="000000"/>
                <w:kern w:val="0"/>
                <w:sz w:val="32"/>
                <w:szCs w:val="32"/>
              </w:rPr>
              <w:t>C5</w:t>
            </w:r>
            <w:r w:rsidRPr="00726163">
              <w:rPr>
                <w:rFonts w:ascii="Times New Roman" w:eastAsia="仿宋_GB2312" w:hAnsi="Times New Roman"/>
                <w:color w:val="000000"/>
                <w:kern w:val="0"/>
                <w:sz w:val="32"/>
                <w:szCs w:val="32"/>
              </w:rPr>
              <w:t>以上烃类组分（体积分数）</w:t>
            </w:r>
            <w:r w:rsidRPr="00726163">
              <w:rPr>
                <w:rFonts w:ascii="Times New Roman" w:eastAsia="仿宋_GB2312" w:hAnsi="Times New Roman"/>
                <w:color w:val="000000"/>
                <w:kern w:val="0"/>
                <w:sz w:val="32"/>
                <w:szCs w:val="32"/>
              </w:rPr>
              <w:t>≤2.0%</w:t>
            </w:r>
          </w:p>
        </w:tc>
        <w:tc>
          <w:tcPr>
            <w:tcW w:w="1322" w:type="pct"/>
            <w:tcBorders>
              <w:top w:val="single" w:sz="4" w:space="0" w:color="000000"/>
              <w:left w:val="single" w:sz="4" w:space="0" w:color="000000"/>
              <w:bottom w:val="single" w:sz="4" w:space="0" w:color="000000"/>
              <w:right w:val="single" w:sz="4" w:space="0" w:color="000000"/>
            </w:tcBorders>
            <w:vAlign w:val="center"/>
            <w:hideMark/>
          </w:tcPr>
          <w:p w14:paraId="3925B3F0"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扣价</w:t>
            </w:r>
            <w:r w:rsidRPr="00726163">
              <w:rPr>
                <w:rFonts w:ascii="Times New Roman" w:eastAsia="仿宋_GB2312" w:hAnsi="Times New Roman"/>
                <w:color w:val="000000"/>
                <w:kern w:val="0"/>
                <w:sz w:val="32"/>
                <w:szCs w:val="32"/>
              </w:rPr>
              <w:t>150</w:t>
            </w:r>
          </w:p>
        </w:tc>
      </w:tr>
      <w:tr w:rsidR="00726163" w:rsidRPr="00726163" w14:paraId="615181EE" w14:textId="77777777" w:rsidTr="008C7B39">
        <w:trPr>
          <w:trHeight w:val="624"/>
          <w:jc w:val="center"/>
        </w:trPr>
        <w:tc>
          <w:tcPr>
            <w:tcW w:w="420"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794BB056"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2</w:t>
            </w:r>
          </w:p>
        </w:tc>
        <w:tc>
          <w:tcPr>
            <w:tcW w:w="3259" w:type="pct"/>
            <w:vMerge w:val="restart"/>
            <w:tcBorders>
              <w:top w:val="single" w:sz="4" w:space="0" w:color="000000"/>
              <w:left w:val="single" w:sz="4" w:space="0" w:color="000000"/>
              <w:bottom w:val="nil"/>
              <w:right w:val="single" w:sz="4" w:space="0" w:color="000000"/>
            </w:tcBorders>
            <w:noWrap/>
            <w:vAlign w:val="center"/>
            <w:hideMark/>
          </w:tcPr>
          <w:p w14:paraId="67B8C774"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同时满足下述指标要求：</w:t>
            </w:r>
          </w:p>
          <w:p w14:paraId="36C8A2DB"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1</w:t>
            </w:r>
            <w:r w:rsidRPr="00726163">
              <w:rPr>
                <w:rFonts w:ascii="Times New Roman" w:eastAsia="仿宋_GB2312" w:hAnsi="Times New Roman"/>
                <w:color w:val="000000"/>
                <w:kern w:val="0"/>
                <w:sz w:val="32"/>
                <w:szCs w:val="32"/>
              </w:rPr>
              <w:t>）蒸气压（</w:t>
            </w:r>
            <w:r w:rsidRPr="00726163">
              <w:rPr>
                <w:rFonts w:ascii="Times New Roman" w:eastAsia="仿宋_GB2312" w:hAnsi="Times New Roman"/>
                <w:color w:val="000000"/>
                <w:kern w:val="0"/>
                <w:sz w:val="32"/>
                <w:szCs w:val="32"/>
              </w:rPr>
              <w:t>37.8℃</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≤1380 kPa</w:t>
            </w:r>
          </w:p>
          <w:p w14:paraId="4A1C6CBF"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2</w:t>
            </w:r>
            <w:r w:rsidRPr="00726163">
              <w:rPr>
                <w:rFonts w:ascii="Times New Roman" w:eastAsia="仿宋_GB2312" w:hAnsi="Times New Roman"/>
                <w:color w:val="000000"/>
                <w:kern w:val="0"/>
                <w:sz w:val="32"/>
                <w:szCs w:val="32"/>
              </w:rPr>
              <w:t>）组分</w:t>
            </w:r>
          </w:p>
        </w:tc>
        <w:tc>
          <w:tcPr>
            <w:tcW w:w="1322" w:type="pct"/>
            <w:vMerge w:val="restart"/>
            <w:tcBorders>
              <w:top w:val="single" w:sz="4" w:space="0" w:color="000000"/>
              <w:left w:val="single" w:sz="4" w:space="0" w:color="000000"/>
              <w:bottom w:val="single" w:sz="4" w:space="0" w:color="000000"/>
              <w:right w:val="single" w:sz="4" w:space="0" w:color="000000"/>
            </w:tcBorders>
            <w:vAlign w:val="center"/>
            <w:hideMark/>
          </w:tcPr>
          <w:p w14:paraId="3F84B646"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扣价</w:t>
            </w:r>
            <w:r w:rsidRPr="00726163">
              <w:rPr>
                <w:rFonts w:ascii="Times New Roman" w:eastAsia="仿宋_GB2312" w:hAnsi="Times New Roman"/>
                <w:color w:val="000000"/>
                <w:kern w:val="0"/>
                <w:sz w:val="32"/>
                <w:szCs w:val="32"/>
              </w:rPr>
              <w:t>150</w:t>
            </w:r>
          </w:p>
        </w:tc>
      </w:tr>
      <w:tr w:rsidR="00726163" w:rsidRPr="00726163" w14:paraId="7D51FC63" w14:textId="77777777" w:rsidTr="008C7B39">
        <w:trPr>
          <w:trHeight w:val="624"/>
          <w:jc w:val="center"/>
        </w:trPr>
        <w:tc>
          <w:tcPr>
            <w:tcW w:w="420" w:type="pct"/>
            <w:vMerge/>
            <w:tcBorders>
              <w:top w:val="single" w:sz="4" w:space="0" w:color="000000"/>
              <w:left w:val="single" w:sz="4" w:space="0" w:color="000000"/>
              <w:bottom w:val="single" w:sz="4" w:space="0" w:color="000000"/>
              <w:right w:val="single" w:sz="4" w:space="0" w:color="000000"/>
            </w:tcBorders>
            <w:vAlign w:val="center"/>
            <w:hideMark/>
          </w:tcPr>
          <w:p w14:paraId="0EF273E3" w14:textId="77777777" w:rsidR="00726163" w:rsidRPr="00726163" w:rsidRDefault="00726163" w:rsidP="003E3461">
            <w:pPr>
              <w:jc w:val="left"/>
              <w:rPr>
                <w:rFonts w:ascii="Times New Roman" w:eastAsia="仿宋_GB2312" w:hAnsi="Times New Roman"/>
                <w:color w:val="000000"/>
                <w:kern w:val="0"/>
                <w:sz w:val="32"/>
                <w:szCs w:val="32"/>
              </w:rPr>
            </w:pPr>
          </w:p>
        </w:tc>
        <w:tc>
          <w:tcPr>
            <w:tcW w:w="3259" w:type="pct"/>
            <w:vMerge/>
            <w:tcBorders>
              <w:top w:val="single" w:sz="4" w:space="0" w:color="000000"/>
              <w:left w:val="single" w:sz="4" w:space="0" w:color="000000"/>
              <w:bottom w:val="nil"/>
              <w:right w:val="single" w:sz="4" w:space="0" w:color="000000"/>
            </w:tcBorders>
            <w:vAlign w:val="center"/>
            <w:hideMark/>
          </w:tcPr>
          <w:p w14:paraId="06547893" w14:textId="77777777" w:rsidR="00726163" w:rsidRPr="00726163" w:rsidRDefault="00726163" w:rsidP="003E3461">
            <w:pPr>
              <w:jc w:val="left"/>
              <w:rPr>
                <w:rFonts w:ascii="Times New Roman" w:eastAsia="仿宋_GB2312" w:hAnsi="Times New Roman"/>
                <w:color w:val="000000"/>
                <w:kern w:val="0"/>
                <w:sz w:val="32"/>
                <w:szCs w:val="32"/>
              </w:rPr>
            </w:pPr>
          </w:p>
        </w:tc>
        <w:tc>
          <w:tcPr>
            <w:tcW w:w="1322" w:type="pct"/>
            <w:vMerge/>
            <w:tcBorders>
              <w:top w:val="single" w:sz="4" w:space="0" w:color="000000"/>
              <w:left w:val="single" w:sz="4" w:space="0" w:color="000000"/>
              <w:bottom w:val="single" w:sz="4" w:space="0" w:color="000000"/>
              <w:right w:val="single" w:sz="4" w:space="0" w:color="000000"/>
            </w:tcBorders>
            <w:vAlign w:val="center"/>
            <w:hideMark/>
          </w:tcPr>
          <w:p w14:paraId="71A26036" w14:textId="77777777" w:rsidR="00726163" w:rsidRPr="00726163" w:rsidRDefault="00726163" w:rsidP="003E3461">
            <w:pPr>
              <w:jc w:val="left"/>
              <w:rPr>
                <w:rFonts w:ascii="Times New Roman" w:eastAsia="仿宋_GB2312" w:hAnsi="Times New Roman"/>
                <w:color w:val="000000"/>
                <w:kern w:val="0"/>
                <w:sz w:val="32"/>
                <w:szCs w:val="32"/>
              </w:rPr>
            </w:pPr>
          </w:p>
        </w:tc>
      </w:tr>
      <w:tr w:rsidR="00726163" w:rsidRPr="00726163" w14:paraId="00CEDA8C" w14:textId="77777777" w:rsidTr="008C7B39">
        <w:trPr>
          <w:trHeight w:val="405"/>
          <w:jc w:val="center"/>
        </w:trPr>
        <w:tc>
          <w:tcPr>
            <w:tcW w:w="420" w:type="pct"/>
            <w:vMerge/>
            <w:tcBorders>
              <w:top w:val="single" w:sz="4" w:space="0" w:color="000000"/>
              <w:left w:val="single" w:sz="4" w:space="0" w:color="000000"/>
              <w:bottom w:val="single" w:sz="4" w:space="0" w:color="000000"/>
              <w:right w:val="single" w:sz="4" w:space="0" w:color="000000"/>
            </w:tcBorders>
            <w:vAlign w:val="center"/>
            <w:hideMark/>
          </w:tcPr>
          <w:p w14:paraId="4D4C5D12" w14:textId="77777777" w:rsidR="00726163" w:rsidRPr="00726163" w:rsidRDefault="00726163" w:rsidP="003E3461">
            <w:pPr>
              <w:jc w:val="left"/>
              <w:rPr>
                <w:rFonts w:ascii="Times New Roman" w:eastAsia="仿宋_GB2312" w:hAnsi="Times New Roman"/>
                <w:color w:val="000000"/>
                <w:kern w:val="0"/>
                <w:sz w:val="32"/>
                <w:szCs w:val="32"/>
              </w:rPr>
            </w:pPr>
          </w:p>
        </w:tc>
        <w:tc>
          <w:tcPr>
            <w:tcW w:w="3259" w:type="pct"/>
            <w:tcBorders>
              <w:top w:val="nil"/>
              <w:left w:val="single" w:sz="4" w:space="0" w:color="000000"/>
              <w:bottom w:val="nil"/>
              <w:right w:val="single" w:sz="4" w:space="0" w:color="000000"/>
            </w:tcBorders>
            <w:noWrap/>
            <w:vAlign w:val="center"/>
            <w:hideMark/>
          </w:tcPr>
          <w:p w14:paraId="059B662A"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C3</w:t>
            </w:r>
            <w:r w:rsidRPr="00726163">
              <w:rPr>
                <w:rFonts w:ascii="Times New Roman" w:eastAsia="仿宋_GB2312" w:hAnsi="Times New Roman"/>
                <w:color w:val="000000"/>
                <w:kern w:val="0"/>
                <w:sz w:val="32"/>
                <w:szCs w:val="32"/>
              </w:rPr>
              <w:t>烃类组分（体积分数）＞</w:t>
            </w:r>
            <w:r w:rsidRPr="00726163">
              <w:rPr>
                <w:rFonts w:ascii="Times New Roman" w:eastAsia="仿宋_GB2312" w:hAnsi="Times New Roman"/>
                <w:color w:val="000000"/>
                <w:kern w:val="0"/>
                <w:sz w:val="32"/>
                <w:szCs w:val="32"/>
              </w:rPr>
              <w:t>5%</w:t>
            </w:r>
            <w:r w:rsidRPr="00726163">
              <w:rPr>
                <w:rFonts w:ascii="Times New Roman" w:eastAsia="仿宋_GB2312" w:hAnsi="Times New Roman"/>
                <w:color w:val="000000"/>
                <w:kern w:val="0"/>
                <w:sz w:val="32"/>
                <w:szCs w:val="32"/>
              </w:rPr>
              <w:t>且＜</w:t>
            </w:r>
            <w:r w:rsidRPr="00726163">
              <w:rPr>
                <w:rFonts w:ascii="Times New Roman" w:eastAsia="仿宋_GB2312" w:hAnsi="Times New Roman"/>
                <w:color w:val="000000"/>
                <w:kern w:val="0"/>
                <w:sz w:val="32"/>
                <w:szCs w:val="32"/>
              </w:rPr>
              <w:t>20%</w:t>
            </w:r>
          </w:p>
        </w:tc>
        <w:tc>
          <w:tcPr>
            <w:tcW w:w="1322" w:type="pct"/>
            <w:vMerge/>
            <w:tcBorders>
              <w:top w:val="single" w:sz="4" w:space="0" w:color="000000"/>
              <w:left w:val="single" w:sz="4" w:space="0" w:color="000000"/>
              <w:bottom w:val="single" w:sz="4" w:space="0" w:color="000000"/>
              <w:right w:val="single" w:sz="4" w:space="0" w:color="000000"/>
            </w:tcBorders>
            <w:vAlign w:val="center"/>
            <w:hideMark/>
          </w:tcPr>
          <w:p w14:paraId="35AB1EF1" w14:textId="77777777" w:rsidR="00726163" w:rsidRPr="00726163" w:rsidRDefault="00726163" w:rsidP="003E3461">
            <w:pPr>
              <w:jc w:val="left"/>
              <w:rPr>
                <w:rFonts w:ascii="Times New Roman" w:eastAsia="仿宋_GB2312" w:hAnsi="Times New Roman"/>
                <w:color w:val="000000"/>
                <w:kern w:val="0"/>
                <w:sz w:val="32"/>
                <w:szCs w:val="32"/>
              </w:rPr>
            </w:pPr>
          </w:p>
        </w:tc>
      </w:tr>
      <w:tr w:rsidR="00726163" w:rsidRPr="00726163" w14:paraId="48A38D81" w14:textId="77777777" w:rsidTr="008C7B39">
        <w:trPr>
          <w:trHeight w:val="405"/>
          <w:jc w:val="center"/>
        </w:trPr>
        <w:tc>
          <w:tcPr>
            <w:tcW w:w="420" w:type="pct"/>
            <w:vMerge/>
            <w:tcBorders>
              <w:top w:val="single" w:sz="4" w:space="0" w:color="000000"/>
              <w:left w:val="single" w:sz="4" w:space="0" w:color="000000"/>
              <w:bottom w:val="single" w:sz="4" w:space="0" w:color="000000"/>
              <w:right w:val="single" w:sz="4" w:space="0" w:color="000000"/>
            </w:tcBorders>
            <w:vAlign w:val="center"/>
            <w:hideMark/>
          </w:tcPr>
          <w:p w14:paraId="1AA2DBEB" w14:textId="77777777" w:rsidR="00726163" w:rsidRPr="00726163" w:rsidRDefault="00726163" w:rsidP="003E3461">
            <w:pPr>
              <w:jc w:val="left"/>
              <w:rPr>
                <w:rFonts w:ascii="Times New Roman" w:eastAsia="仿宋_GB2312" w:hAnsi="Times New Roman"/>
                <w:color w:val="000000"/>
                <w:kern w:val="0"/>
                <w:sz w:val="32"/>
                <w:szCs w:val="32"/>
              </w:rPr>
            </w:pPr>
          </w:p>
        </w:tc>
        <w:tc>
          <w:tcPr>
            <w:tcW w:w="3259" w:type="pct"/>
            <w:tcBorders>
              <w:top w:val="nil"/>
              <w:left w:val="single" w:sz="4" w:space="0" w:color="000000"/>
              <w:bottom w:val="nil"/>
              <w:right w:val="single" w:sz="4" w:space="0" w:color="000000"/>
            </w:tcBorders>
            <w:noWrap/>
            <w:vAlign w:val="center"/>
            <w:hideMark/>
          </w:tcPr>
          <w:p w14:paraId="74DB7C8B"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(C3+C4)</w:t>
            </w:r>
            <w:r w:rsidRPr="00726163">
              <w:rPr>
                <w:rFonts w:ascii="Times New Roman" w:eastAsia="仿宋_GB2312" w:hAnsi="Times New Roman"/>
                <w:color w:val="000000"/>
                <w:kern w:val="0"/>
                <w:sz w:val="32"/>
                <w:szCs w:val="32"/>
              </w:rPr>
              <w:t>烃类组分（体积分数）</w:t>
            </w:r>
            <w:r w:rsidRPr="00726163">
              <w:rPr>
                <w:rFonts w:ascii="Times New Roman" w:eastAsia="仿宋_GB2312" w:hAnsi="Times New Roman"/>
                <w:color w:val="000000"/>
                <w:kern w:val="0"/>
                <w:sz w:val="32"/>
                <w:szCs w:val="32"/>
              </w:rPr>
              <w:t>≥95%</w:t>
            </w:r>
          </w:p>
        </w:tc>
        <w:tc>
          <w:tcPr>
            <w:tcW w:w="1322" w:type="pct"/>
            <w:vMerge/>
            <w:tcBorders>
              <w:top w:val="single" w:sz="4" w:space="0" w:color="000000"/>
              <w:left w:val="single" w:sz="4" w:space="0" w:color="000000"/>
              <w:bottom w:val="single" w:sz="4" w:space="0" w:color="000000"/>
              <w:right w:val="single" w:sz="4" w:space="0" w:color="000000"/>
            </w:tcBorders>
            <w:vAlign w:val="center"/>
            <w:hideMark/>
          </w:tcPr>
          <w:p w14:paraId="2345D25A" w14:textId="77777777" w:rsidR="00726163" w:rsidRPr="00726163" w:rsidRDefault="00726163" w:rsidP="003E3461">
            <w:pPr>
              <w:jc w:val="left"/>
              <w:rPr>
                <w:rFonts w:ascii="Times New Roman" w:eastAsia="仿宋_GB2312" w:hAnsi="Times New Roman"/>
                <w:color w:val="000000"/>
                <w:kern w:val="0"/>
                <w:sz w:val="32"/>
                <w:szCs w:val="32"/>
              </w:rPr>
            </w:pPr>
          </w:p>
        </w:tc>
      </w:tr>
      <w:tr w:rsidR="00726163" w:rsidRPr="00726163" w14:paraId="5D8BCDD2" w14:textId="77777777" w:rsidTr="008C7B39">
        <w:trPr>
          <w:trHeight w:val="405"/>
          <w:jc w:val="center"/>
        </w:trPr>
        <w:tc>
          <w:tcPr>
            <w:tcW w:w="420" w:type="pct"/>
            <w:vMerge/>
            <w:tcBorders>
              <w:top w:val="single" w:sz="4" w:space="0" w:color="000000"/>
              <w:left w:val="single" w:sz="4" w:space="0" w:color="000000"/>
              <w:bottom w:val="single" w:sz="4" w:space="0" w:color="000000"/>
              <w:right w:val="single" w:sz="4" w:space="0" w:color="000000"/>
            </w:tcBorders>
            <w:vAlign w:val="center"/>
            <w:hideMark/>
          </w:tcPr>
          <w:p w14:paraId="45785A4A" w14:textId="77777777" w:rsidR="00726163" w:rsidRPr="00726163" w:rsidRDefault="00726163" w:rsidP="003E3461">
            <w:pPr>
              <w:jc w:val="left"/>
              <w:rPr>
                <w:rFonts w:ascii="Times New Roman" w:eastAsia="仿宋_GB2312" w:hAnsi="Times New Roman"/>
                <w:color w:val="000000"/>
                <w:kern w:val="0"/>
                <w:sz w:val="32"/>
                <w:szCs w:val="32"/>
              </w:rPr>
            </w:pPr>
          </w:p>
        </w:tc>
        <w:tc>
          <w:tcPr>
            <w:tcW w:w="3259" w:type="pct"/>
            <w:tcBorders>
              <w:top w:val="nil"/>
              <w:left w:val="single" w:sz="4" w:space="0" w:color="000000"/>
              <w:bottom w:val="single" w:sz="4" w:space="0" w:color="000000"/>
              <w:right w:val="single" w:sz="4" w:space="0" w:color="000000"/>
            </w:tcBorders>
            <w:noWrap/>
            <w:vAlign w:val="center"/>
            <w:hideMark/>
          </w:tcPr>
          <w:p w14:paraId="352CAD36"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C5</w:t>
            </w:r>
            <w:r w:rsidRPr="00726163">
              <w:rPr>
                <w:rFonts w:ascii="Times New Roman" w:eastAsia="仿宋_GB2312" w:hAnsi="Times New Roman"/>
                <w:color w:val="000000"/>
                <w:kern w:val="0"/>
                <w:sz w:val="32"/>
                <w:szCs w:val="32"/>
              </w:rPr>
              <w:t>及</w:t>
            </w:r>
            <w:r w:rsidRPr="00726163">
              <w:rPr>
                <w:rFonts w:ascii="Times New Roman" w:eastAsia="仿宋_GB2312" w:hAnsi="Times New Roman"/>
                <w:color w:val="000000"/>
                <w:kern w:val="0"/>
                <w:sz w:val="32"/>
                <w:szCs w:val="32"/>
              </w:rPr>
              <w:t>C5</w:t>
            </w:r>
            <w:r w:rsidRPr="00726163">
              <w:rPr>
                <w:rFonts w:ascii="Times New Roman" w:eastAsia="仿宋_GB2312" w:hAnsi="Times New Roman"/>
                <w:color w:val="000000"/>
                <w:kern w:val="0"/>
                <w:sz w:val="32"/>
                <w:szCs w:val="32"/>
              </w:rPr>
              <w:t>以上烃类组分（体积分数）</w:t>
            </w:r>
            <w:r w:rsidRPr="00726163">
              <w:rPr>
                <w:rFonts w:ascii="Times New Roman" w:eastAsia="仿宋_GB2312" w:hAnsi="Times New Roman"/>
                <w:color w:val="000000"/>
                <w:kern w:val="0"/>
                <w:sz w:val="32"/>
                <w:szCs w:val="32"/>
              </w:rPr>
              <w:t>≤3.0%</w:t>
            </w:r>
          </w:p>
        </w:tc>
        <w:tc>
          <w:tcPr>
            <w:tcW w:w="1322" w:type="pct"/>
            <w:vMerge/>
            <w:tcBorders>
              <w:top w:val="single" w:sz="4" w:space="0" w:color="000000"/>
              <w:left w:val="single" w:sz="4" w:space="0" w:color="000000"/>
              <w:bottom w:val="single" w:sz="4" w:space="0" w:color="000000"/>
              <w:right w:val="single" w:sz="4" w:space="0" w:color="000000"/>
            </w:tcBorders>
            <w:vAlign w:val="center"/>
            <w:hideMark/>
          </w:tcPr>
          <w:p w14:paraId="0DFDD2C7" w14:textId="77777777" w:rsidR="00726163" w:rsidRPr="00726163" w:rsidRDefault="00726163" w:rsidP="003E3461">
            <w:pPr>
              <w:jc w:val="left"/>
              <w:rPr>
                <w:rFonts w:ascii="Times New Roman" w:eastAsia="仿宋_GB2312" w:hAnsi="Times New Roman"/>
                <w:color w:val="000000"/>
                <w:kern w:val="0"/>
                <w:sz w:val="32"/>
                <w:szCs w:val="32"/>
              </w:rPr>
            </w:pPr>
          </w:p>
        </w:tc>
      </w:tr>
      <w:tr w:rsidR="00726163" w:rsidRPr="00726163" w14:paraId="58A3FB95" w14:textId="77777777" w:rsidTr="008C7B39">
        <w:trPr>
          <w:trHeight w:val="557"/>
          <w:jc w:val="center"/>
        </w:trPr>
        <w:tc>
          <w:tcPr>
            <w:tcW w:w="420" w:type="pct"/>
            <w:tcBorders>
              <w:top w:val="single" w:sz="4" w:space="0" w:color="000000"/>
              <w:left w:val="single" w:sz="4" w:space="0" w:color="000000"/>
              <w:bottom w:val="single" w:sz="4" w:space="0" w:color="000000"/>
              <w:right w:val="single" w:sz="4" w:space="0" w:color="000000"/>
            </w:tcBorders>
            <w:noWrap/>
            <w:vAlign w:val="center"/>
            <w:hideMark/>
          </w:tcPr>
          <w:p w14:paraId="5763CD9A"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3</w:t>
            </w:r>
          </w:p>
        </w:tc>
        <w:tc>
          <w:tcPr>
            <w:tcW w:w="3259" w:type="pct"/>
            <w:tcBorders>
              <w:top w:val="single" w:sz="4" w:space="0" w:color="000000"/>
              <w:left w:val="single" w:sz="4" w:space="0" w:color="000000"/>
              <w:bottom w:val="single" w:sz="4" w:space="0" w:color="000000"/>
              <w:right w:val="single" w:sz="4" w:space="0" w:color="000000"/>
            </w:tcBorders>
            <w:noWrap/>
            <w:vAlign w:val="center"/>
            <w:hideMark/>
          </w:tcPr>
          <w:p w14:paraId="2AD35E65"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同时满足下述指标要求：</w:t>
            </w:r>
          </w:p>
          <w:p w14:paraId="09D90D2E"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1</w:t>
            </w:r>
            <w:r w:rsidRPr="00726163">
              <w:rPr>
                <w:rFonts w:ascii="Times New Roman" w:eastAsia="仿宋_GB2312" w:hAnsi="Times New Roman"/>
                <w:color w:val="000000"/>
                <w:kern w:val="0"/>
                <w:sz w:val="32"/>
                <w:szCs w:val="32"/>
              </w:rPr>
              <w:t>）蒸气压（</w:t>
            </w:r>
            <w:r w:rsidRPr="00726163">
              <w:rPr>
                <w:rFonts w:ascii="Times New Roman" w:eastAsia="仿宋_GB2312" w:hAnsi="Times New Roman"/>
                <w:color w:val="000000"/>
                <w:kern w:val="0"/>
                <w:sz w:val="32"/>
                <w:szCs w:val="32"/>
              </w:rPr>
              <w:t>37.8℃</w:t>
            </w: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≤1430kPa</w:t>
            </w:r>
          </w:p>
          <w:p w14:paraId="66DB51EF" w14:textId="77777777" w:rsidR="00726163" w:rsidRPr="00726163" w:rsidRDefault="00726163" w:rsidP="003E3461">
            <w:pPr>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w:t>
            </w:r>
            <w:r w:rsidRPr="00726163">
              <w:rPr>
                <w:rFonts w:ascii="Times New Roman" w:eastAsia="仿宋_GB2312" w:hAnsi="Times New Roman"/>
                <w:color w:val="000000"/>
                <w:kern w:val="0"/>
                <w:sz w:val="32"/>
                <w:szCs w:val="32"/>
              </w:rPr>
              <w:t>2</w:t>
            </w:r>
            <w:r w:rsidRPr="00726163">
              <w:rPr>
                <w:rFonts w:ascii="Times New Roman" w:eastAsia="仿宋_GB2312" w:hAnsi="Times New Roman"/>
                <w:color w:val="000000"/>
                <w:kern w:val="0"/>
                <w:sz w:val="32"/>
                <w:szCs w:val="32"/>
              </w:rPr>
              <w:t>）组分</w:t>
            </w:r>
          </w:p>
          <w:p w14:paraId="06E32ED2"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C3</w:t>
            </w:r>
            <w:r w:rsidRPr="00726163">
              <w:rPr>
                <w:rFonts w:ascii="Times New Roman" w:eastAsia="仿宋_GB2312" w:hAnsi="Times New Roman"/>
                <w:color w:val="000000"/>
                <w:kern w:val="0"/>
                <w:sz w:val="32"/>
                <w:szCs w:val="32"/>
              </w:rPr>
              <w:t>烃类组分（体积分数）</w:t>
            </w:r>
            <w:r w:rsidRPr="00726163">
              <w:rPr>
                <w:rFonts w:ascii="Times New Roman" w:eastAsia="仿宋_GB2312" w:hAnsi="Times New Roman"/>
                <w:color w:val="000000"/>
                <w:kern w:val="0"/>
                <w:sz w:val="32"/>
                <w:szCs w:val="32"/>
              </w:rPr>
              <w:t>≥95%</w:t>
            </w:r>
          </w:p>
          <w:p w14:paraId="5487DE78"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C4</w:t>
            </w:r>
            <w:r w:rsidRPr="00726163">
              <w:rPr>
                <w:rFonts w:ascii="Times New Roman" w:eastAsia="仿宋_GB2312" w:hAnsi="Times New Roman"/>
                <w:color w:val="000000"/>
                <w:kern w:val="0"/>
                <w:sz w:val="32"/>
                <w:szCs w:val="32"/>
              </w:rPr>
              <w:t>及</w:t>
            </w:r>
            <w:r w:rsidRPr="00726163">
              <w:rPr>
                <w:rFonts w:ascii="Times New Roman" w:eastAsia="仿宋_GB2312" w:hAnsi="Times New Roman"/>
                <w:color w:val="000000"/>
                <w:kern w:val="0"/>
                <w:sz w:val="32"/>
                <w:szCs w:val="32"/>
              </w:rPr>
              <w:t>C4</w:t>
            </w:r>
            <w:r w:rsidRPr="00726163">
              <w:rPr>
                <w:rFonts w:ascii="Times New Roman" w:eastAsia="仿宋_GB2312" w:hAnsi="Times New Roman"/>
                <w:color w:val="000000"/>
                <w:kern w:val="0"/>
                <w:sz w:val="32"/>
                <w:szCs w:val="32"/>
              </w:rPr>
              <w:t>以上烃类组分（体积分数）</w:t>
            </w:r>
            <w:r w:rsidRPr="00726163">
              <w:rPr>
                <w:rFonts w:ascii="Times New Roman" w:eastAsia="仿宋_GB2312" w:hAnsi="Times New Roman"/>
                <w:color w:val="000000"/>
                <w:kern w:val="0"/>
                <w:sz w:val="32"/>
                <w:szCs w:val="32"/>
              </w:rPr>
              <w:t>≤2.5%</w:t>
            </w:r>
          </w:p>
          <w:p w14:paraId="7B6E7390" w14:textId="77777777" w:rsidR="00726163" w:rsidRPr="00726163" w:rsidRDefault="00726163" w:rsidP="003E3461">
            <w:pPr>
              <w:ind w:firstLineChars="100" w:firstLine="320"/>
              <w:jc w:val="left"/>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C5</w:t>
            </w:r>
            <w:r w:rsidRPr="00726163">
              <w:rPr>
                <w:rFonts w:ascii="Times New Roman" w:eastAsia="仿宋_GB2312" w:hAnsi="Times New Roman"/>
                <w:color w:val="000000"/>
                <w:kern w:val="0"/>
                <w:sz w:val="32"/>
                <w:szCs w:val="32"/>
              </w:rPr>
              <w:t>及</w:t>
            </w:r>
            <w:r w:rsidRPr="00726163">
              <w:rPr>
                <w:rFonts w:ascii="Times New Roman" w:eastAsia="仿宋_GB2312" w:hAnsi="Times New Roman"/>
                <w:color w:val="000000"/>
                <w:kern w:val="0"/>
                <w:sz w:val="32"/>
                <w:szCs w:val="32"/>
              </w:rPr>
              <w:t>C5</w:t>
            </w:r>
            <w:r w:rsidRPr="00726163">
              <w:rPr>
                <w:rFonts w:ascii="Times New Roman" w:eastAsia="仿宋_GB2312" w:hAnsi="Times New Roman"/>
                <w:color w:val="000000"/>
                <w:kern w:val="0"/>
                <w:sz w:val="32"/>
                <w:szCs w:val="32"/>
              </w:rPr>
              <w:t>以上烃类组分（体积分数）不做要求</w:t>
            </w:r>
          </w:p>
        </w:tc>
        <w:tc>
          <w:tcPr>
            <w:tcW w:w="1322" w:type="pct"/>
            <w:tcBorders>
              <w:top w:val="single" w:sz="4" w:space="0" w:color="000000"/>
              <w:left w:val="single" w:sz="4" w:space="0" w:color="000000"/>
              <w:bottom w:val="single" w:sz="4" w:space="0" w:color="000000"/>
              <w:right w:val="single" w:sz="4" w:space="0" w:color="000000"/>
            </w:tcBorders>
            <w:vAlign w:val="center"/>
            <w:hideMark/>
          </w:tcPr>
          <w:p w14:paraId="57545093" w14:textId="77777777" w:rsidR="00726163" w:rsidRPr="00726163" w:rsidRDefault="00726163" w:rsidP="003E3461">
            <w:pPr>
              <w:jc w:val="center"/>
              <w:rPr>
                <w:rFonts w:ascii="Times New Roman" w:eastAsia="仿宋_GB2312" w:hAnsi="Times New Roman"/>
                <w:color w:val="000000"/>
                <w:kern w:val="0"/>
                <w:sz w:val="32"/>
                <w:szCs w:val="32"/>
              </w:rPr>
            </w:pPr>
            <w:r w:rsidRPr="00726163">
              <w:rPr>
                <w:rFonts w:ascii="Times New Roman" w:eastAsia="仿宋_GB2312" w:hAnsi="Times New Roman"/>
                <w:color w:val="000000"/>
                <w:kern w:val="0"/>
                <w:sz w:val="32"/>
                <w:szCs w:val="32"/>
              </w:rPr>
              <w:t>扣价</w:t>
            </w:r>
            <w:r w:rsidRPr="00726163">
              <w:rPr>
                <w:rFonts w:ascii="Times New Roman" w:eastAsia="仿宋_GB2312" w:hAnsi="Times New Roman"/>
                <w:color w:val="000000"/>
                <w:kern w:val="0"/>
                <w:sz w:val="32"/>
                <w:szCs w:val="32"/>
              </w:rPr>
              <w:t>100</w:t>
            </w:r>
          </w:p>
        </w:tc>
      </w:tr>
    </w:tbl>
    <w:p w14:paraId="14D4E674" w14:textId="77777777" w:rsidR="00734765" w:rsidRDefault="00734765" w:rsidP="003E3461">
      <w:pPr>
        <w:spacing w:line="580" w:lineRule="exact"/>
        <w:ind w:firstLineChars="200" w:firstLine="640"/>
        <w:jc w:val="left"/>
        <w:rPr>
          <w:rFonts w:ascii="Times New Roman" w:eastAsia="仿宋_GB2312" w:hAnsi="Times New Roman"/>
          <w:color w:val="000000"/>
          <w:kern w:val="0"/>
          <w:sz w:val="32"/>
          <w:szCs w:val="32"/>
        </w:rPr>
      </w:pPr>
    </w:p>
    <w:p w14:paraId="38262C74" w14:textId="77777777" w:rsidR="00734765" w:rsidRDefault="00734765" w:rsidP="003E3461">
      <w:pPr>
        <w:spacing w:line="580" w:lineRule="exact"/>
        <w:ind w:firstLineChars="200" w:firstLine="640"/>
        <w:jc w:val="left"/>
        <w:rPr>
          <w:rFonts w:ascii="Times New Roman" w:eastAsia="仿宋_GB2312" w:hAnsi="Times New Roman"/>
          <w:color w:val="000000"/>
          <w:kern w:val="0"/>
          <w:sz w:val="32"/>
          <w:szCs w:val="32"/>
        </w:rPr>
      </w:pPr>
    </w:p>
    <w:p w14:paraId="25F7575A" w14:textId="237AC6B7" w:rsidR="00726163" w:rsidRPr="00726163" w:rsidRDefault="00726163" w:rsidP="003E3461">
      <w:pPr>
        <w:spacing w:line="580" w:lineRule="exact"/>
        <w:ind w:firstLineChars="200" w:firstLine="640"/>
        <w:jc w:val="left"/>
        <w:rPr>
          <w:rFonts w:ascii="Times New Roman" w:eastAsia="仿宋_GB2312" w:hAnsi="Times New Roman"/>
          <w:color w:val="000000"/>
          <w:sz w:val="32"/>
          <w:szCs w:val="32"/>
        </w:rPr>
      </w:pPr>
      <w:bookmarkStart w:id="3" w:name="_GoBack"/>
      <w:bookmarkEnd w:id="3"/>
      <w:r w:rsidRPr="00726163">
        <w:rPr>
          <w:rFonts w:ascii="Times New Roman" w:eastAsia="仿宋_GB2312" w:hAnsi="Times New Roman"/>
          <w:color w:val="000000"/>
          <w:kern w:val="0"/>
          <w:sz w:val="32"/>
          <w:szCs w:val="32"/>
        </w:rPr>
        <w:t>4.3</w:t>
      </w:r>
      <w:r w:rsidRPr="00726163">
        <w:rPr>
          <w:rFonts w:ascii="Times New Roman" w:eastAsia="仿宋_GB2312" w:hAnsi="Times New Roman"/>
          <w:color w:val="000000"/>
          <w:sz w:val="32"/>
          <w:szCs w:val="32"/>
        </w:rPr>
        <w:t>若同时交割满足</w:t>
      </w:r>
      <w:r w:rsidRPr="00726163">
        <w:rPr>
          <w:rFonts w:ascii="Times New Roman" w:eastAsia="仿宋_GB2312" w:hAnsi="Times New Roman"/>
          <w:color w:val="000000"/>
          <w:sz w:val="32"/>
          <w:szCs w:val="32"/>
        </w:rPr>
        <w:t>4.2</w:t>
      </w:r>
      <w:r w:rsidRPr="00726163">
        <w:rPr>
          <w:rFonts w:ascii="Times New Roman" w:eastAsia="仿宋_GB2312" w:hAnsi="Times New Roman"/>
          <w:color w:val="000000"/>
          <w:sz w:val="32"/>
          <w:szCs w:val="32"/>
        </w:rPr>
        <w:t>第</w:t>
      </w:r>
      <w:r w:rsidRPr="00726163">
        <w:rPr>
          <w:rFonts w:ascii="Times New Roman" w:eastAsia="仿宋_GB2312" w:hAnsi="Times New Roman"/>
          <w:color w:val="000000"/>
          <w:sz w:val="32"/>
          <w:szCs w:val="32"/>
        </w:rPr>
        <w:t>1</w:t>
      </w:r>
      <w:r w:rsidRPr="00726163">
        <w:rPr>
          <w:rFonts w:ascii="Times New Roman" w:eastAsia="仿宋_GB2312" w:hAnsi="Times New Roman"/>
          <w:color w:val="000000"/>
          <w:sz w:val="32"/>
          <w:szCs w:val="32"/>
        </w:rPr>
        <w:t>项和第</w:t>
      </w:r>
      <w:r w:rsidRPr="00726163">
        <w:rPr>
          <w:rFonts w:ascii="Times New Roman" w:eastAsia="仿宋_GB2312" w:hAnsi="Times New Roman"/>
          <w:color w:val="000000"/>
          <w:sz w:val="32"/>
          <w:szCs w:val="32"/>
        </w:rPr>
        <w:t>3</w:t>
      </w:r>
      <w:r w:rsidRPr="00726163">
        <w:rPr>
          <w:rFonts w:ascii="Times New Roman" w:eastAsia="仿宋_GB2312" w:hAnsi="Times New Roman"/>
          <w:color w:val="000000"/>
          <w:sz w:val="32"/>
          <w:szCs w:val="32"/>
        </w:rPr>
        <w:t>项要求的替代品（可以在一个交割单位内同时交割），且第</w:t>
      </w:r>
      <w:r w:rsidRPr="00726163">
        <w:rPr>
          <w:rFonts w:ascii="Times New Roman" w:eastAsia="仿宋_GB2312" w:hAnsi="Times New Roman"/>
          <w:color w:val="000000"/>
          <w:sz w:val="32"/>
          <w:szCs w:val="32"/>
        </w:rPr>
        <w:t>3</w:t>
      </w:r>
      <w:r w:rsidRPr="00726163">
        <w:rPr>
          <w:rFonts w:ascii="Times New Roman" w:eastAsia="仿宋_GB2312" w:hAnsi="Times New Roman"/>
          <w:color w:val="000000"/>
          <w:sz w:val="32"/>
          <w:szCs w:val="32"/>
        </w:rPr>
        <w:t>项替代品重量占第</w:t>
      </w:r>
      <w:r w:rsidRPr="00726163">
        <w:rPr>
          <w:rFonts w:ascii="Times New Roman" w:eastAsia="仿宋_GB2312" w:hAnsi="Times New Roman"/>
          <w:color w:val="000000"/>
          <w:sz w:val="32"/>
          <w:szCs w:val="32"/>
        </w:rPr>
        <w:t>1</w:t>
      </w:r>
      <w:r w:rsidRPr="00726163">
        <w:rPr>
          <w:rFonts w:ascii="Times New Roman" w:eastAsia="仿宋_GB2312" w:hAnsi="Times New Roman"/>
          <w:color w:val="000000"/>
          <w:sz w:val="32"/>
          <w:szCs w:val="32"/>
        </w:rPr>
        <w:t>项和第</w:t>
      </w:r>
      <w:r w:rsidRPr="00726163">
        <w:rPr>
          <w:rFonts w:ascii="Times New Roman" w:eastAsia="仿宋_GB2312" w:hAnsi="Times New Roman"/>
          <w:color w:val="000000"/>
          <w:sz w:val="32"/>
          <w:szCs w:val="32"/>
        </w:rPr>
        <w:t>3</w:t>
      </w:r>
      <w:r w:rsidRPr="00726163">
        <w:rPr>
          <w:rFonts w:ascii="Times New Roman" w:eastAsia="仿宋_GB2312" w:hAnsi="Times New Roman"/>
          <w:color w:val="000000"/>
          <w:sz w:val="32"/>
          <w:szCs w:val="32"/>
        </w:rPr>
        <w:t>项替代品总重量的比例</w:t>
      </w:r>
      <w:r w:rsidRPr="00726163">
        <w:rPr>
          <w:rFonts w:ascii="Times New Roman" w:eastAsia="仿宋_GB2312" w:hAnsi="Times New Roman"/>
          <w:color w:val="000000"/>
          <w:sz w:val="32"/>
          <w:szCs w:val="32"/>
        </w:rPr>
        <w:t>≥20%</w:t>
      </w:r>
      <w:r w:rsidRPr="00726163">
        <w:rPr>
          <w:rFonts w:ascii="Times New Roman" w:eastAsia="仿宋_GB2312" w:hAnsi="Times New Roman"/>
          <w:color w:val="000000"/>
          <w:sz w:val="32"/>
          <w:szCs w:val="32"/>
        </w:rPr>
        <w:t>且</w:t>
      </w:r>
      <w:r w:rsidRPr="00726163">
        <w:rPr>
          <w:rFonts w:ascii="Times New Roman" w:eastAsia="仿宋_GB2312" w:hAnsi="Times New Roman"/>
          <w:color w:val="000000"/>
          <w:sz w:val="32"/>
          <w:szCs w:val="32"/>
        </w:rPr>
        <w:t>≤50%</w:t>
      </w:r>
      <w:r w:rsidRPr="00726163">
        <w:rPr>
          <w:rFonts w:ascii="Times New Roman" w:eastAsia="仿宋_GB2312" w:hAnsi="Times New Roman"/>
          <w:color w:val="000000"/>
          <w:sz w:val="32"/>
          <w:szCs w:val="32"/>
        </w:rPr>
        <w:t>，则扣价</w:t>
      </w:r>
      <w:r w:rsidRPr="00726163">
        <w:rPr>
          <w:rFonts w:ascii="Times New Roman" w:eastAsia="仿宋_GB2312" w:hAnsi="Times New Roman"/>
          <w:color w:val="000000"/>
          <w:sz w:val="32"/>
          <w:szCs w:val="32"/>
        </w:rPr>
        <w:t>0</w:t>
      </w:r>
      <w:r w:rsidRPr="00726163">
        <w:rPr>
          <w:rFonts w:ascii="Times New Roman" w:eastAsia="仿宋_GB2312" w:hAnsi="Times New Roman"/>
          <w:color w:val="000000"/>
          <w:sz w:val="32"/>
          <w:szCs w:val="32"/>
        </w:rPr>
        <w:t>元</w:t>
      </w:r>
      <w:r w:rsidRPr="00726163">
        <w:rPr>
          <w:rFonts w:ascii="Times New Roman" w:eastAsia="仿宋_GB2312" w:hAnsi="Times New Roman"/>
          <w:color w:val="000000"/>
          <w:sz w:val="32"/>
          <w:szCs w:val="32"/>
        </w:rPr>
        <w:t>/</w:t>
      </w:r>
      <w:r w:rsidRPr="00726163">
        <w:rPr>
          <w:rFonts w:ascii="Times New Roman" w:eastAsia="仿宋_GB2312" w:hAnsi="Times New Roman"/>
          <w:color w:val="000000"/>
          <w:sz w:val="32"/>
          <w:szCs w:val="32"/>
        </w:rPr>
        <w:t>吨。</w:t>
      </w:r>
    </w:p>
    <w:p w14:paraId="1CDED178" w14:textId="77777777"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5 </w:t>
      </w:r>
      <w:r w:rsidRPr="00726163">
        <w:rPr>
          <w:rFonts w:ascii="Times New Roman" w:eastAsia="黑体" w:hAnsi="Times New Roman"/>
          <w:color w:val="000000"/>
          <w:sz w:val="32"/>
          <w:szCs w:val="32"/>
        </w:rPr>
        <w:t>取样及检验规则</w:t>
      </w:r>
    </w:p>
    <w:p w14:paraId="2B169DCB"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 xml:space="preserve">5.1 </w:t>
      </w:r>
      <w:r w:rsidRPr="00726163">
        <w:rPr>
          <w:rFonts w:ascii="Times New Roman" w:eastAsia="仿宋_GB2312" w:hAnsi="Times New Roman"/>
          <w:color w:val="000000"/>
          <w:sz w:val="32"/>
          <w:szCs w:val="32"/>
        </w:rPr>
        <w:t>取样按照</w:t>
      </w:r>
      <w:r w:rsidRPr="00726163">
        <w:rPr>
          <w:rFonts w:ascii="Times New Roman" w:eastAsia="仿宋_GB2312" w:hAnsi="Times New Roman"/>
          <w:color w:val="000000"/>
          <w:sz w:val="32"/>
          <w:szCs w:val="32"/>
        </w:rPr>
        <w:t>SH/T 0233-1992</w:t>
      </w:r>
      <w:r w:rsidRPr="00726163">
        <w:rPr>
          <w:rFonts w:ascii="Times New Roman" w:eastAsia="仿宋_GB2312" w:hAnsi="Times New Roman"/>
          <w:color w:val="000000"/>
          <w:sz w:val="32"/>
          <w:szCs w:val="32"/>
        </w:rPr>
        <w:t>的规定执行。</w:t>
      </w:r>
    </w:p>
    <w:p w14:paraId="1DB04D3D"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 xml:space="preserve">5.2 </w:t>
      </w:r>
      <w:r w:rsidRPr="00726163">
        <w:rPr>
          <w:rFonts w:ascii="Times New Roman" w:eastAsia="仿宋_GB2312" w:hAnsi="Times New Roman"/>
          <w:color w:val="000000"/>
          <w:sz w:val="32"/>
          <w:szCs w:val="32"/>
        </w:rPr>
        <w:t>质量指标检验按</w:t>
      </w:r>
      <w:r w:rsidRPr="00726163">
        <w:rPr>
          <w:rFonts w:ascii="Times New Roman" w:eastAsia="仿宋_GB2312" w:hAnsi="Times New Roman"/>
          <w:color w:val="000000"/>
          <w:sz w:val="32"/>
          <w:szCs w:val="32"/>
        </w:rPr>
        <w:t>GB 11174-2011</w:t>
      </w:r>
      <w:r w:rsidRPr="00726163">
        <w:rPr>
          <w:rFonts w:ascii="Times New Roman" w:eastAsia="仿宋_GB2312" w:hAnsi="Times New Roman"/>
          <w:color w:val="000000"/>
          <w:sz w:val="32"/>
          <w:szCs w:val="32"/>
        </w:rPr>
        <w:t>执行。</w:t>
      </w:r>
    </w:p>
    <w:p w14:paraId="0F8FE47F" w14:textId="77777777"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6 </w:t>
      </w:r>
      <w:r w:rsidRPr="00726163">
        <w:rPr>
          <w:rFonts w:ascii="Times New Roman" w:eastAsia="黑体" w:hAnsi="Times New Roman"/>
          <w:color w:val="000000"/>
          <w:sz w:val="32"/>
          <w:szCs w:val="32"/>
        </w:rPr>
        <w:t>贮存</w:t>
      </w:r>
    </w:p>
    <w:p w14:paraId="1E3D8C9E" w14:textId="77777777" w:rsidR="00726163" w:rsidRPr="00726163" w:rsidRDefault="00726163" w:rsidP="003E3461">
      <w:pPr>
        <w:spacing w:line="580" w:lineRule="exact"/>
        <w:ind w:firstLineChars="200" w:firstLine="640"/>
        <w:rPr>
          <w:rFonts w:ascii="Times New Roman" w:eastAsia="仿宋_GB2312" w:hAnsi="Times New Roman"/>
          <w:color w:val="000000"/>
          <w:sz w:val="32"/>
          <w:szCs w:val="32"/>
        </w:rPr>
      </w:pPr>
      <w:r w:rsidRPr="00726163">
        <w:rPr>
          <w:rFonts w:ascii="Times New Roman" w:eastAsia="仿宋_GB2312" w:hAnsi="Times New Roman"/>
          <w:color w:val="000000"/>
          <w:sz w:val="32"/>
          <w:szCs w:val="32"/>
        </w:rPr>
        <w:t>液化石油气应装入液化石油气储罐或液化石油气专用钢瓶储存。</w:t>
      </w:r>
    </w:p>
    <w:p w14:paraId="3A4850E1" w14:textId="77777777" w:rsidR="00726163" w:rsidRPr="00726163" w:rsidRDefault="00726163" w:rsidP="003E3461">
      <w:pPr>
        <w:spacing w:line="580" w:lineRule="exact"/>
        <w:ind w:firstLineChars="200" w:firstLine="640"/>
        <w:rPr>
          <w:rFonts w:ascii="Times New Roman" w:eastAsia="黑体" w:hAnsi="Times New Roman"/>
          <w:color w:val="000000"/>
          <w:sz w:val="32"/>
          <w:szCs w:val="32"/>
        </w:rPr>
      </w:pPr>
      <w:r w:rsidRPr="00726163">
        <w:rPr>
          <w:rFonts w:ascii="Times New Roman" w:eastAsia="黑体" w:hAnsi="Times New Roman"/>
          <w:color w:val="000000"/>
          <w:sz w:val="32"/>
          <w:szCs w:val="32"/>
        </w:rPr>
        <w:t xml:space="preserve">7 </w:t>
      </w:r>
      <w:r w:rsidRPr="00726163">
        <w:rPr>
          <w:rFonts w:ascii="Times New Roman" w:eastAsia="黑体" w:hAnsi="Times New Roman"/>
          <w:color w:val="000000"/>
          <w:sz w:val="32"/>
          <w:szCs w:val="32"/>
        </w:rPr>
        <w:t>附加说明</w:t>
      </w:r>
    </w:p>
    <w:p w14:paraId="0353AC85" w14:textId="77777777" w:rsidR="00726163" w:rsidRPr="00726163" w:rsidRDefault="00726163" w:rsidP="003E3461">
      <w:pPr>
        <w:spacing w:line="580" w:lineRule="exact"/>
        <w:ind w:firstLineChars="200" w:firstLine="640"/>
        <w:rPr>
          <w:rFonts w:ascii="Times New Roman" w:eastAsia="仿宋_GB2312" w:hAnsi="Times New Roman"/>
          <w:sz w:val="32"/>
          <w:szCs w:val="32"/>
        </w:rPr>
      </w:pPr>
      <w:r w:rsidRPr="00726163">
        <w:rPr>
          <w:rFonts w:ascii="Times New Roman" w:eastAsia="仿宋_GB2312" w:hAnsi="Times New Roman"/>
          <w:color w:val="000000"/>
          <w:sz w:val="32"/>
          <w:szCs w:val="32"/>
        </w:rPr>
        <w:t>本标准由大连商品交易所负责解释。</w:t>
      </w:r>
    </w:p>
    <w:p w14:paraId="3C0E298E" w14:textId="77777777" w:rsidR="00A2554E" w:rsidRPr="00726163" w:rsidRDefault="00A2554E" w:rsidP="003E3461">
      <w:pPr>
        <w:rPr>
          <w:rFonts w:ascii="Times New Roman" w:hAnsi="Times New Roman"/>
        </w:rPr>
      </w:pPr>
    </w:p>
    <w:sectPr w:rsidR="00A2554E" w:rsidRPr="00726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E7866" w14:textId="77777777" w:rsidR="00964773" w:rsidRDefault="00964773" w:rsidP="00726163">
      <w:r>
        <w:separator/>
      </w:r>
    </w:p>
  </w:endnote>
  <w:endnote w:type="continuationSeparator" w:id="0">
    <w:p w14:paraId="2AAE018A" w14:textId="77777777" w:rsidR="00964773" w:rsidRDefault="00964773" w:rsidP="0072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2AFF" w:usb1="4000ACF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788166"/>
      <w:docPartObj>
        <w:docPartGallery w:val="Page Numbers (Bottom of Page)"/>
        <w:docPartUnique/>
      </w:docPartObj>
    </w:sdtPr>
    <w:sdtContent>
      <w:p w14:paraId="25FD1634" w14:textId="43AA9A1A" w:rsidR="00964773" w:rsidRDefault="00964773">
        <w:pPr>
          <w:pStyle w:val="a7"/>
          <w:jc w:val="center"/>
        </w:pPr>
        <w:r>
          <w:fldChar w:fldCharType="begin"/>
        </w:r>
        <w:r>
          <w:instrText>PAGE   \* MERGEFORMAT</w:instrText>
        </w:r>
        <w:r>
          <w:fldChar w:fldCharType="separate"/>
        </w:r>
        <w:r w:rsidR="00734765" w:rsidRPr="00734765">
          <w:rPr>
            <w:noProof/>
            <w:lang w:val="zh-CN"/>
          </w:rPr>
          <w:t>146</w:t>
        </w:r>
        <w:r>
          <w:fldChar w:fldCharType="end"/>
        </w:r>
      </w:p>
    </w:sdtContent>
  </w:sdt>
  <w:p w14:paraId="794994A4" w14:textId="77777777" w:rsidR="00964773" w:rsidRDefault="009647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193A2" w14:textId="77777777" w:rsidR="00964773" w:rsidRDefault="00964773" w:rsidP="00726163">
      <w:r>
        <w:separator/>
      </w:r>
    </w:p>
  </w:footnote>
  <w:footnote w:type="continuationSeparator" w:id="0">
    <w:p w14:paraId="18A659AA" w14:textId="77777777" w:rsidR="00964773" w:rsidRDefault="00964773" w:rsidP="0072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24"/>
    <w:rsid w:val="00167BE1"/>
    <w:rsid w:val="00284929"/>
    <w:rsid w:val="00292285"/>
    <w:rsid w:val="003E3461"/>
    <w:rsid w:val="004931A2"/>
    <w:rsid w:val="005C643D"/>
    <w:rsid w:val="00645380"/>
    <w:rsid w:val="00726163"/>
    <w:rsid w:val="00734765"/>
    <w:rsid w:val="007B1EC4"/>
    <w:rsid w:val="007F5233"/>
    <w:rsid w:val="008C7B39"/>
    <w:rsid w:val="00964773"/>
    <w:rsid w:val="00A2554E"/>
    <w:rsid w:val="00A934CD"/>
    <w:rsid w:val="00B77B0D"/>
    <w:rsid w:val="00C83324"/>
    <w:rsid w:val="00DA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28520"/>
  <w15:chartTrackingRefBased/>
  <w15:docId w15:val="{E06FF2BA-B7F4-4A27-A8F2-158EFD16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16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72616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26163"/>
    <w:rPr>
      <w:sz w:val="18"/>
      <w:szCs w:val="18"/>
    </w:rPr>
  </w:style>
  <w:style w:type="paragraph" w:styleId="a7">
    <w:name w:val="footer"/>
    <w:basedOn w:val="a"/>
    <w:link w:val="a8"/>
    <w:uiPriority w:val="99"/>
    <w:unhideWhenUsed/>
    <w:qFormat/>
    <w:rsid w:val="00726163"/>
    <w:pPr>
      <w:tabs>
        <w:tab w:val="center" w:pos="4153"/>
        <w:tab w:val="right" w:pos="8306"/>
      </w:tabs>
      <w:snapToGrid w:val="0"/>
      <w:jc w:val="left"/>
    </w:pPr>
    <w:rPr>
      <w:sz w:val="18"/>
      <w:szCs w:val="18"/>
    </w:rPr>
  </w:style>
  <w:style w:type="character" w:customStyle="1" w:styleId="a8">
    <w:name w:val="页脚 字符"/>
    <w:basedOn w:val="a0"/>
    <w:link w:val="a7"/>
    <w:uiPriority w:val="99"/>
    <w:rsid w:val="00726163"/>
    <w:rPr>
      <w:sz w:val="18"/>
      <w:szCs w:val="18"/>
    </w:rPr>
  </w:style>
  <w:style w:type="paragraph" w:styleId="a9">
    <w:name w:val="Normal (Web)"/>
    <w:basedOn w:val="a"/>
    <w:uiPriority w:val="99"/>
    <w:unhideWhenUsed/>
    <w:qFormat/>
    <w:rsid w:val="00726163"/>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ab"/>
    <w:unhideWhenUsed/>
    <w:rsid w:val="00726163"/>
    <w:pPr>
      <w:jc w:val="left"/>
    </w:pPr>
  </w:style>
  <w:style w:type="character" w:customStyle="1" w:styleId="ab">
    <w:name w:val="批注文字 字符"/>
    <w:basedOn w:val="a0"/>
    <w:link w:val="aa"/>
    <w:rsid w:val="00726163"/>
    <w:rPr>
      <w:rFonts w:ascii="等线" w:eastAsia="等线" w:hAnsi="等线" w:cs="Times New Roman"/>
    </w:rPr>
  </w:style>
  <w:style w:type="character" w:styleId="ac">
    <w:name w:val="annotation reference"/>
    <w:uiPriority w:val="99"/>
    <w:semiHidden/>
    <w:unhideWhenUsed/>
    <w:rsid w:val="00726163"/>
    <w:rPr>
      <w:sz w:val="21"/>
      <w:szCs w:val="21"/>
    </w:rPr>
  </w:style>
  <w:style w:type="character" w:styleId="ad">
    <w:name w:val="Hyperlink"/>
    <w:uiPriority w:val="99"/>
    <w:semiHidden/>
    <w:unhideWhenUsed/>
    <w:rsid w:val="00726163"/>
    <w:rPr>
      <w:color w:val="0000FF"/>
      <w:u w:val="single"/>
    </w:rPr>
  </w:style>
  <w:style w:type="paragraph" w:styleId="ae">
    <w:name w:val="Balloon Text"/>
    <w:basedOn w:val="a"/>
    <w:link w:val="af"/>
    <w:uiPriority w:val="99"/>
    <w:semiHidden/>
    <w:unhideWhenUsed/>
    <w:rsid w:val="00726163"/>
    <w:rPr>
      <w:sz w:val="18"/>
      <w:szCs w:val="18"/>
    </w:rPr>
  </w:style>
  <w:style w:type="character" w:customStyle="1" w:styleId="af">
    <w:name w:val="批注框文本 字符"/>
    <w:basedOn w:val="a0"/>
    <w:link w:val="ae"/>
    <w:uiPriority w:val="99"/>
    <w:semiHidden/>
    <w:rsid w:val="00726163"/>
    <w:rPr>
      <w:rFonts w:ascii="等线" w:eastAsia="等线" w:hAnsi="等线" w:cs="Times New Roman"/>
      <w:sz w:val="18"/>
      <w:szCs w:val="18"/>
    </w:rPr>
  </w:style>
  <w:style w:type="paragraph" w:styleId="af0">
    <w:name w:val="No Spacing"/>
    <w:aliases w:val="图表"/>
    <w:link w:val="af1"/>
    <w:uiPriority w:val="1"/>
    <w:qFormat/>
    <w:rsid w:val="00726163"/>
    <w:pPr>
      <w:widowControl w:val="0"/>
      <w:jc w:val="center"/>
    </w:pPr>
    <w:rPr>
      <w:rFonts w:ascii="Times New Roman" w:eastAsia="仿宋_GB2312" w:hAnsi="Times New Roman" w:cs="Times New Roman"/>
      <w:sz w:val="28"/>
    </w:rPr>
  </w:style>
  <w:style w:type="character" w:customStyle="1" w:styleId="af1">
    <w:name w:val="无间隔 字符"/>
    <w:aliases w:val="图表 字符"/>
    <w:link w:val="af0"/>
    <w:uiPriority w:val="1"/>
    <w:rsid w:val="00726163"/>
    <w:rPr>
      <w:rFonts w:ascii="Times New Roman" w:eastAsia="仿宋_GB2312" w:hAnsi="Times New Roman" w:cs="Times New Roman"/>
      <w:sz w:val="28"/>
    </w:rPr>
  </w:style>
  <w:style w:type="paragraph" w:styleId="af2">
    <w:name w:val="List Paragraph"/>
    <w:basedOn w:val="a"/>
    <w:uiPriority w:val="34"/>
    <w:qFormat/>
    <w:rsid w:val="00726163"/>
    <w:pPr>
      <w:ind w:firstLineChars="200" w:firstLine="420"/>
    </w:pPr>
    <w:rPr>
      <w:rFonts w:ascii="Calibri" w:eastAsia="宋体" w:hAnsi="Calibri"/>
    </w:rPr>
  </w:style>
  <w:style w:type="character" w:customStyle="1" w:styleId="af3">
    <w:name w:val="批注主题 字符"/>
    <w:link w:val="af4"/>
    <w:uiPriority w:val="99"/>
    <w:semiHidden/>
    <w:rsid w:val="00726163"/>
    <w:rPr>
      <w:rFonts w:ascii="Calibri" w:eastAsia="宋体" w:hAnsi="Calibri"/>
      <w:b/>
      <w:bCs/>
    </w:rPr>
  </w:style>
  <w:style w:type="paragraph" w:styleId="af4">
    <w:name w:val="annotation subject"/>
    <w:basedOn w:val="aa"/>
    <w:next w:val="aa"/>
    <w:link w:val="af3"/>
    <w:uiPriority w:val="99"/>
    <w:semiHidden/>
    <w:unhideWhenUsed/>
    <w:rsid w:val="00726163"/>
    <w:rPr>
      <w:rFonts w:ascii="Calibri" w:eastAsia="宋体" w:hAnsi="Calibri" w:cstheme="minorBidi"/>
      <w:b/>
      <w:bCs/>
    </w:rPr>
  </w:style>
  <w:style w:type="character" w:customStyle="1" w:styleId="1">
    <w:name w:val="批注主题 字符1"/>
    <w:basedOn w:val="ab"/>
    <w:uiPriority w:val="99"/>
    <w:semiHidden/>
    <w:rsid w:val="00726163"/>
    <w:rPr>
      <w:rFonts w:ascii="等线" w:eastAsia="等线" w:hAnsi="等线" w:cs="Times New Roman"/>
      <w:b/>
      <w:bCs/>
    </w:rPr>
  </w:style>
  <w:style w:type="character" w:customStyle="1" w:styleId="10">
    <w:name w:val="页脚 字符1"/>
    <w:uiPriority w:val="99"/>
    <w:rsid w:val="007261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580C2-602B-4C05-86B9-65397F477917}"/>
</file>

<file path=customXml/itemProps2.xml><?xml version="1.0" encoding="utf-8"?>
<ds:datastoreItem xmlns:ds="http://schemas.openxmlformats.org/officeDocument/2006/customXml" ds:itemID="{75ECF537-3DFF-4693-A6D1-1F6E74BC7231}"/>
</file>

<file path=customXml/itemProps3.xml><?xml version="1.0" encoding="utf-8"?>
<ds:datastoreItem xmlns:ds="http://schemas.openxmlformats.org/officeDocument/2006/customXml" ds:itemID="{7D1777E7-9A21-473F-9AC8-049AB4FE12ED}"/>
</file>

<file path=docProps/app.xml><?xml version="1.0" encoding="utf-8"?>
<Properties xmlns="http://schemas.openxmlformats.org/officeDocument/2006/extended-properties" xmlns:vt="http://schemas.openxmlformats.org/officeDocument/2006/docPropsVTypes">
  <Template>Normal</Template>
  <TotalTime>20</TotalTime>
  <Pages>147</Pages>
  <Words>33607</Words>
  <Characters>33945</Characters>
  <Application>Microsoft Office Word</Application>
  <DocSecurity>0</DocSecurity>
  <Lines>3394</Lines>
  <Paragraphs>2937</Paragraphs>
  <ScaleCrop>false</ScaleCrop>
  <Company/>
  <LinksUpToDate>false</LinksUpToDate>
  <CharactersWithSpaces>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14</cp:revision>
  <dcterms:created xsi:type="dcterms:W3CDTF">2020-03-20T11:01:00Z</dcterms:created>
  <dcterms:modified xsi:type="dcterms:W3CDTF">2020-03-20T11:23:00Z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