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3273" w14:textId="77777777" w:rsidR="00F1647D" w:rsidRPr="00F1647D" w:rsidRDefault="00F1647D" w:rsidP="00F1647D">
      <w:pPr>
        <w:spacing w:line="580" w:lineRule="exact"/>
        <w:rPr>
          <w:rFonts w:ascii="黑体" w:eastAsia="黑体" w:hAnsi="黑体"/>
          <w:b/>
          <w:bCs/>
          <w:color w:val="000000"/>
          <w:sz w:val="44"/>
          <w:szCs w:val="32"/>
        </w:rPr>
      </w:pPr>
      <w:bookmarkStart w:id="0" w:name="_GoBack"/>
      <w:bookmarkEnd w:id="0"/>
      <w:r w:rsidRPr="00F1647D">
        <w:rPr>
          <w:rFonts w:ascii="黑体" w:eastAsia="黑体" w:hAnsi="黑体" w:hint="eastAsia"/>
          <w:sz w:val="32"/>
          <w:szCs w:val="32"/>
        </w:rPr>
        <w:t>附件3</w:t>
      </w:r>
    </w:p>
    <w:p w14:paraId="1195344E" w14:textId="77777777" w:rsidR="00F1647D" w:rsidRPr="002D3CB5" w:rsidRDefault="00F1647D" w:rsidP="00F1647D">
      <w:pPr>
        <w:spacing w:line="580" w:lineRule="exact"/>
        <w:rPr>
          <w:rFonts w:ascii="Cambria" w:hAnsi="Cambria"/>
          <w:b/>
          <w:bCs/>
          <w:color w:val="000000"/>
          <w:sz w:val="44"/>
          <w:szCs w:val="32"/>
        </w:rPr>
      </w:pPr>
    </w:p>
    <w:p w14:paraId="2404559A" w14:textId="77777777" w:rsidR="00F1647D" w:rsidRPr="002D3CB5" w:rsidRDefault="00F1647D" w:rsidP="00F1647D">
      <w:pPr>
        <w:spacing w:line="580" w:lineRule="exact"/>
        <w:jc w:val="center"/>
        <w:rPr>
          <w:rFonts w:ascii="宋体" w:hAnsi="宋体"/>
          <w:b/>
          <w:bCs/>
          <w:color w:val="000000"/>
          <w:sz w:val="44"/>
          <w:szCs w:val="44"/>
        </w:rPr>
      </w:pPr>
      <w:r w:rsidRPr="002D3CB5">
        <w:rPr>
          <w:rFonts w:ascii="宋体" w:hAnsi="宋体" w:hint="eastAsia"/>
          <w:b/>
          <w:bCs/>
          <w:color w:val="000000"/>
          <w:sz w:val="44"/>
          <w:szCs w:val="44"/>
        </w:rPr>
        <w:t>大连商品交易所交割管理办法</w:t>
      </w:r>
    </w:p>
    <w:p w14:paraId="5554B070" w14:textId="77777777" w:rsidR="00F1647D" w:rsidRPr="002D3CB5" w:rsidRDefault="00F1647D" w:rsidP="00F1647D">
      <w:pPr>
        <w:spacing w:line="580" w:lineRule="exact"/>
        <w:jc w:val="center"/>
        <w:rPr>
          <w:rFonts w:ascii="宋体" w:hAnsi="宋体"/>
          <w:b/>
          <w:bCs/>
          <w:color w:val="000000"/>
          <w:sz w:val="44"/>
          <w:szCs w:val="44"/>
        </w:rPr>
      </w:pPr>
      <w:r w:rsidRPr="002D3CB5">
        <w:rPr>
          <w:rFonts w:ascii="宋体" w:hAnsi="宋体" w:hint="eastAsia"/>
          <w:b/>
          <w:bCs/>
          <w:color w:val="000000"/>
          <w:sz w:val="44"/>
          <w:szCs w:val="44"/>
        </w:rPr>
        <w:t>（修正案征求意见稿）</w:t>
      </w:r>
    </w:p>
    <w:p w14:paraId="2D019B12" w14:textId="77777777" w:rsidR="00F1647D" w:rsidRPr="002D3CB5" w:rsidRDefault="00F1647D" w:rsidP="00F1647D">
      <w:pPr>
        <w:widowControl/>
        <w:spacing w:line="580" w:lineRule="exact"/>
        <w:jc w:val="center"/>
        <w:rPr>
          <w:rFonts w:ascii="宋体" w:hAnsi="宋体"/>
          <w:b/>
          <w:bCs/>
          <w:color w:val="000000"/>
          <w:sz w:val="24"/>
          <w:szCs w:val="20"/>
        </w:rPr>
      </w:pPr>
    </w:p>
    <w:p w14:paraId="31A6C7F9"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shd w:val="pct15" w:color="auto" w:fill="FFFFFF"/>
        </w:rPr>
      </w:pPr>
      <w:r w:rsidRPr="002D3CB5">
        <w:rPr>
          <w:rFonts w:eastAsia="仿宋_GB2312" w:hint="eastAsia"/>
          <w:color w:val="000000"/>
          <w:sz w:val="32"/>
          <w:szCs w:val="32"/>
        </w:rPr>
        <w:t>第六条</w:t>
      </w:r>
      <w:r w:rsidRPr="002D3CB5">
        <w:rPr>
          <w:rFonts w:eastAsia="仿宋_GB2312" w:hint="eastAsia"/>
          <w:color w:val="000000"/>
          <w:sz w:val="32"/>
          <w:szCs w:val="32"/>
        </w:rPr>
        <w:t xml:space="preserve"> </w:t>
      </w:r>
      <w:r w:rsidRPr="002D3CB5">
        <w:rPr>
          <w:rFonts w:eastAsia="仿宋_GB2312" w:hint="eastAsia"/>
          <w:color w:val="000000"/>
          <w:sz w:val="32"/>
          <w:szCs w:val="32"/>
        </w:rPr>
        <w:t>个人客户持仓和焦炭、焦煤、铁矿石、黄大豆</w:t>
      </w:r>
      <w:r w:rsidRPr="002D3CB5">
        <w:rPr>
          <w:rFonts w:eastAsia="仿宋_GB2312"/>
          <w:color w:val="000000"/>
          <w:sz w:val="32"/>
          <w:szCs w:val="32"/>
        </w:rPr>
        <w:t>2</w:t>
      </w:r>
      <w:r w:rsidRPr="002D3CB5">
        <w:rPr>
          <w:rFonts w:eastAsia="仿宋_GB2312" w:hint="eastAsia"/>
          <w:color w:val="000000"/>
          <w:sz w:val="32"/>
          <w:szCs w:val="32"/>
        </w:rPr>
        <w:t>号非交割单位整数倍持仓不得交割，不具备苯乙烯</w:t>
      </w:r>
      <w:r w:rsidRPr="002D3CB5">
        <w:rPr>
          <w:rFonts w:eastAsia="仿宋_GB2312" w:hint="eastAsia"/>
          <w:color w:val="000000"/>
          <w:sz w:val="32"/>
          <w:szCs w:val="32"/>
          <w:shd w:val="pct15" w:color="auto" w:fill="FFFFFF"/>
        </w:rPr>
        <w:t>或液化石油气</w:t>
      </w:r>
      <w:r w:rsidRPr="002D3CB5">
        <w:rPr>
          <w:rFonts w:eastAsia="仿宋_GB2312" w:hint="eastAsia"/>
          <w:color w:val="000000"/>
          <w:sz w:val="32"/>
          <w:szCs w:val="32"/>
        </w:rPr>
        <w:t>生产、经营或使用资质的单位客户不得参与</w:t>
      </w:r>
      <w:r w:rsidRPr="002D3CB5">
        <w:rPr>
          <w:rFonts w:eastAsia="仿宋_GB2312" w:hint="eastAsia"/>
          <w:dstrike/>
          <w:color w:val="000000"/>
          <w:sz w:val="32"/>
          <w:szCs w:val="32"/>
        </w:rPr>
        <w:t>苯乙烯</w:t>
      </w:r>
      <w:r w:rsidRPr="002D3CB5">
        <w:rPr>
          <w:rFonts w:eastAsia="仿宋_GB2312" w:hint="eastAsia"/>
          <w:color w:val="000000"/>
          <w:sz w:val="32"/>
          <w:szCs w:val="32"/>
          <w:shd w:val="pct15" w:color="auto" w:fill="FFFFFF"/>
        </w:rPr>
        <w:t>相应品种</w:t>
      </w:r>
      <w:r w:rsidRPr="002D3CB5">
        <w:rPr>
          <w:rFonts w:eastAsia="仿宋_GB2312" w:hint="eastAsia"/>
          <w:color w:val="000000"/>
          <w:sz w:val="32"/>
          <w:szCs w:val="32"/>
        </w:rPr>
        <w:t>交割。</w:t>
      </w:r>
    </w:p>
    <w:p w14:paraId="66526B67"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rPr>
      </w:pPr>
      <w:r w:rsidRPr="002D3CB5">
        <w:rPr>
          <w:rFonts w:eastAsia="仿宋_GB2312" w:hint="eastAsia"/>
          <w:color w:val="000000"/>
          <w:sz w:val="32"/>
          <w:szCs w:val="32"/>
        </w:rPr>
        <w:t>自交割月份第一个交易日起，交易所对个人客户交割月份合约的持仓予以强行平仓。</w:t>
      </w:r>
    </w:p>
    <w:p w14:paraId="02EF475B"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rPr>
      </w:pPr>
      <w:r w:rsidRPr="002D3CB5">
        <w:rPr>
          <w:rFonts w:eastAsia="仿宋_GB2312" w:hint="eastAsia"/>
          <w:color w:val="000000"/>
          <w:sz w:val="32"/>
          <w:szCs w:val="32"/>
        </w:rPr>
        <w:t>对焦炭、焦煤、铁矿石、黄大豆</w:t>
      </w:r>
      <w:r w:rsidRPr="002D3CB5">
        <w:rPr>
          <w:rFonts w:eastAsia="仿宋_GB2312"/>
          <w:color w:val="000000"/>
          <w:sz w:val="32"/>
          <w:szCs w:val="32"/>
        </w:rPr>
        <w:t>2</w:t>
      </w:r>
      <w:r w:rsidRPr="002D3CB5">
        <w:rPr>
          <w:rFonts w:eastAsia="仿宋_GB2312" w:hint="eastAsia"/>
          <w:color w:val="000000"/>
          <w:sz w:val="32"/>
          <w:szCs w:val="32"/>
        </w:rPr>
        <w:t>号、苯乙烯</w:t>
      </w:r>
      <w:r w:rsidRPr="002D3CB5">
        <w:rPr>
          <w:rFonts w:eastAsia="仿宋_GB2312" w:hint="eastAsia"/>
          <w:color w:val="000000"/>
          <w:sz w:val="32"/>
          <w:szCs w:val="32"/>
          <w:shd w:val="pct15" w:color="auto" w:fill="FFFFFF"/>
        </w:rPr>
        <w:t>、液化石油气</w:t>
      </w:r>
      <w:r w:rsidRPr="002D3CB5">
        <w:rPr>
          <w:rFonts w:eastAsia="仿宋_GB2312" w:hint="eastAsia"/>
          <w:color w:val="000000"/>
          <w:sz w:val="32"/>
          <w:szCs w:val="32"/>
        </w:rPr>
        <w:t>以外品种合约，最后交易日收市后，个人客户交割月份合约的持仓仍未能平仓的，首先由会员代为履约，会员仍未能履约的，则按照本办法第九章有关规定进行处理。</w:t>
      </w:r>
    </w:p>
    <w:p w14:paraId="309127FB"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rPr>
      </w:pPr>
      <w:r w:rsidRPr="002D3CB5">
        <w:rPr>
          <w:rFonts w:eastAsia="仿宋_GB2312" w:hint="eastAsia"/>
          <w:color w:val="000000"/>
          <w:sz w:val="32"/>
          <w:szCs w:val="32"/>
        </w:rPr>
        <w:t>对焦炭、焦煤、铁矿石、黄大豆</w:t>
      </w:r>
      <w:r w:rsidRPr="002D3CB5">
        <w:rPr>
          <w:rFonts w:eastAsia="仿宋_GB2312"/>
          <w:color w:val="000000"/>
          <w:sz w:val="32"/>
          <w:szCs w:val="32"/>
        </w:rPr>
        <w:t>2</w:t>
      </w:r>
      <w:r w:rsidRPr="002D3CB5">
        <w:rPr>
          <w:rFonts w:eastAsia="仿宋_GB2312" w:hint="eastAsia"/>
          <w:color w:val="000000"/>
          <w:sz w:val="32"/>
          <w:szCs w:val="32"/>
        </w:rPr>
        <w:t>号、苯乙烯</w:t>
      </w:r>
      <w:r w:rsidRPr="002D3CB5">
        <w:rPr>
          <w:rFonts w:eastAsia="仿宋_GB2312" w:hint="eastAsia"/>
          <w:color w:val="000000"/>
          <w:sz w:val="32"/>
          <w:szCs w:val="32"/>
          <w:shd w:val="pct15" w:color="auto" w:fill="FFFFFF"/>
        </w:rPr>
        <w:t>、液化石油气</w:t>
      </w:r>
      <w:r w:rsidRPr="002D3CB5">
        <w:rPr>
          <w:rFonts w:eastAsia="仿宋_GB2312" w:hint="eastAsia"/>
          <w:color w:val="000000"/>
          <w:sz w:val="32"/>
          <w:szCs w:val="32"/>
        </w:rPr>
        <w:t>合约，最后交易日收市后，个人客户交割月份合约的持仓和非交割单位整数倍持仓仍未能平仓的，由交易所按照</w:t>
      </w:r>
      <w:r w:rsidRPr="002D3CB5">
        <w:rPr>
          <w:rFonts w:eastAsia="仿宋_GB2312"/>
          <w:color w:val="000000"/>
          <w:sz w:val="32"/>
          <w:szCs w:val="32"/>
        </w:rPr>
        <w:t>“</w:t>
      </w:r>
      <w:r w:rsidRPr="002D3CB5">
        <w:rPr>
          <w:rFonts w:eastAsia="仿宋_GB2312" w:hint="eastAsia"/>
          <w:color w:val="000000"/>
          <w:sz w:val="32"/>
          <w:szCs w:val="32"/>
        </w:rPr>
        <w:t>不允许交割持仓优先，含有时间最短持仓的交割单位整数倍持仓优先</w:t>
      </w:r>
      <w:r w:rsidRPr="002D3CB5">
        <w:rPr>
          <w:rFonts w:eastAsia="仿宋_GB2312"/>
          <w:color w:val="000000"/>
          <w:sz w:val="32"/>
          <w:szCs w:val="32"/>
        </w:rPr>
        <w:t>”</w:t>
      </w:r>
      <w:r w:rsidRPr="002D3CB5">
        <w:rPr>
          <w:rFonts w:eastAsia="仿宋_GB2312" w:hint="eastAsia"/>
          <w:color w:val="000000"/>
          <w:sz w:val="32"/>
          <w:szCs w:val="32"/>
        </w:rPr>
        <w:t>原则，选择对手方持仓对冲平仓，平仓价格为该合约交割结算价，并对客户持有的不允许交割持仓部分处以按交割结算价计算合约价值</w:t>
      </w:r>
      <w:r w:rsidRPr="002D3CB5">
        <w:rPr>
          <w:rFonts w:eastAsia="仿宋_GB2312"/>
          <w:color w:val="000000"/>
          <w:sz w:val="32"/>
          <w:szCs w:val="32"/>
        </w:rPr>
        <w:t>20</w:t>
      </w:r>
      <w:r w:rsidRPr="002D3CB5">
        <w:rPr>
          <w:rFonts w:eastAsia="仿宋_GB2312" w:hint="eastAsia"/>
          <w:color w:val="000000"/>
          <w:sz w:val="32"/>
          <w:szCs w:val="32"/>
        </w:rPr>
        <w:t>％的罚款，该款项支付给对方。若对冲双方均为持有不允许交割持仓的客户，交易所对双方分别处以按交割结算价计算合约价值</w:t>
      </w:r>
      <w:r w:rsidRPr="002D3CB5">
        <w:rPr>
          <w:rFonts w:eastAsia="仿宋_GB2312"/>
          <w:color w:val="000000"/>
          <w:sz w:val="32"/>
          <w:szCs w:val="32"/>
        </w:rPr>
        <w:t>20</w:t>
      </w:r>
      <w:r w:rsidRPr="002D3CB5">
        <w:rPr>
          <w:rFonts w:eastAsia="仿宋_GB2312" w:hint="eastAsia"/>
          <w:color w:val="000000"/>
          <w:sz w:val="32"/>
          <w:szCs w:val="32"/>
        </w:rPr>
        <w:t>％的罚款，不再支付给</w:t>
      </w:r>
      <w:r w:rsidRPr="002D3CB5">
        <w:rPr>
          <w:rFonts w:eastAsia="仿宋_GB2312" w:hint="eastAsia"/>
          <w:color w:val="000000"/>
          <w:sz w:val="32"/>
          <w:szCs w:val="32"/>
        </w:rPr>
        <w:lastRenderedPageBreak/>
        <w:t>对方。</w:t>
      </w:r>
    </w:p>
    <w:p w14:paraId="4BB78B52"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rPr>
      </w:pPr>
      <w:r w:rsidRPr="002D3CB5">
        <w:rPr>
          <w:rFonts w:eastAsia="仿宋_GB2312" w:hint="eastAsia"/>
          <w:color w:val="000000"/>
          <w:sz w:val="32"/>
          <w:szCs w:val="32"/>
        </w:rPr>
        <w:t>对于苯乙烯</w:t>
      </w:r>
      <w:r w:rsidRPr="002D3CB5">
        <w:rPr>
          <w:rFonts w:eastAsia="仿宋_GB2312" w:hint="eastAsia"/>
          <w:color w:val="000000"/>
          <w:sz w:val="32"/>
          <w:szCs w:val="32"/>
          <w:shd w:val="pct15" w:color="auto" w:fill="FFFFFF"/>
        </w:rPr>
        <w:t>、液化石油气</w:t>
      </w:r>
      <w:r w:rsidRPr="002D3CB5">
        <w:rPr>
          <w:rFonts w:eastAsia="仿宋_GB2312" w:hint="eastAsia"/>
          <w:color w:val="000000"/>
          <w:sz w:val="32"/>
          <w:szCs w:val="32"/>
        </w:rPr>
        <w:t>合约，不具备</w:t>
      </w:r>
      <w:r w:rsidRPr="002D3CB5">
        <w:rPr>
          <w:rFonts w:eastAsia="仿宋_GB2312" w:hint="eastAsia"/>
          <w:dstrike/>
          <w:color w:val="000000"/>
          <w:sz w:val="32"/>
          <w:szCs w:val="32"/>
        </w:rPr>
        <w:t>苯乙烯</w:t>
      </w:r>
      <w:r w:rsidRPr="002D3CB5">
        <w:rPr>
          <w:rFonts w:eastAsia="仿宋_GB2312" w:hint="eastAsia"/>
          <w:color w:val="000000"/>
          <w:sz w:val="32"/>
          <w:szCs w:val="32"/>
          <w:shd w:val="pct15" w:color="auto" w:fill="FFFFFF"/>
        </w:rPr>
        <w:t>相应品种</w:t>
      </w:r>
      <w:r w:rsidRPr="002D3CB5">
        <w:rPr>
          <w:rFonts w:eastAsia="仿宋_GB2312" w:hint="eastAsia"/>
          <w:color w:val="000000"/>
          <w:sz w:val="32"/>
          <w:szCs w:val="32"/>
        </w:rPr>
        <w:t>生产、经营或使用资质的单位客户持仓在</w:t>
      </w:r>
      <w:r w:rsidRPr="002D3CB5">
        <w:rPr>
          <w:rFonts w:eastAsia="仿宋_GB2312" w:hint="eastAsia"/>
          <w:kern w:val="0"/>
          <w:sz w:val="32"/>
          <w:szCs w:val="32"/>
        </w:rPr>
        <w:t>滚动交割、一次性交割流程下</w:t>
      </w:r>
      <w:r w:rsidRPr="002D3CB5">
        <w:rPr>
          <w:rFonts w:eastAsia="仿宋_GB2312" w:hint="eastAsia"/>
          <w:color w:val="000000"/>
          <w:sz w:val="32"/>
          <w:szCs w:val="32"/>
        </w:rPr>
        <w:t>被配对的，交易所在交收日闭市后对其处以按交割结算价计算合约价值</w:t>
      </w:r>
      <w:r w:rsidRPr="002D3CB5">
        <w:rPr>
          <w:rFonts w:eastAsia="仿宋_GB2312"/>
          <w:color w:val="000000"/>
          <w:sz w:val="32"/>
          <w:szCs w:val="32"/>
        </w:rPr>
        <w:t>20%</w:t>
      </w:r>
      <w:r w:rsidRPr="002D3CB5">
        <w:rPr>
          <w:rFonts w:eastAsia="仿宋_GB2312" w:hint="eastAsia"/>
          <w:color w:val="000000"/>
          <w:sz w:val="32"/>
          <w:szCs w:val="32"/>
        </w:rPr>
        <w:t>的罚款，该款项支付给对方。若配对双方均为不得交割的客户，交易所对双方分别处以按交割结算价计算合约价值</w:t>
      </w:r>
      <w:r w:rsidRPr="002D3CB5">
        <w:rPr>
          <w:rFonts w:eastAsia="仿宋_GB2312"/>
          <w:color w:val="000000"/>
          <w:sz w:val="32"/>
          <w:szCs w:val="32"/>
        </w:rPr>
        <w:t>20</w:t>
      </w:r>
      <w:r w:rsidRPr="002D3CB5">
        <w:rPr>
          <w:rFonts w:eastAsia="仿宋_GB2312" w:hint="eastAsia"/>
          <w:color w:val="000000"/>
          <w:sz w:val="32"/>
          <w:szCs w:val="32"/>
        </w:rPr>
        <w:t>％的罚款，不再支付给对方。</w:t>
      </w:r>
    </w:p>
    <w:p w14:paraId="5B68B00A"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rPr>
      </w:pPr>
      <w:r w:rsidRPr="002D3CB5">
        <w:rPr>
          <w:rFonts w:eastAsia="仿宋_GB2312" w:hint="eastAsia"/>
          <w:color w:val="000000"/>
          <w:sz w:val="32"/>
          <w:szCs w:val="32"/>
        </w:rPr>
        <w:t>第十一条</w:t>
      </w:r>
      <w:r w:rsidRPr="002D3CB5">
        <w:rPr>
          <w:rFonts w:eastAsia="仿宋_GB2312" w:hint="eastAsia"/>
          <w:color w:val="000000"/>
          <w:sz w:val="32"/>
          <w:szCs w:val="32"/>
        </w:rPr>
        <w:t xml:space="preserve"> </w:t>
      </w:r>
      <w:r w:rsidRPr="002D3CB5">
        <w:rPr>
          <w:rFonts w:eastAsia="仿宋_GB2312" w:hint="eastAsia"/>
          <w:color w:val="000000"/>
          <w:sz w:val="32"/>
          <w:szCs w:val="32"/>
        </w:rPr>
        <w:t>交易双方达成现货买卖协议后，应向交易所提交下述材料：</w:t>
      </w:r>
    </w:p>
    <w:p w14:paraId="5A365502"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rPr>
      </w:pPr>
      <w:r w:rsidRPr="002D3CB5">
        <w:rPr>
          <w:rFonts w:eastAsia="仿宋_GB2312" w:hint="eastAsia"/>
          <w:color w:val="000000"/>
          <w:sz w:val="32"/>
          <w:szCs w:val="32"/>
        </w:rPr>
        <w:t>（一）期转现申请；</w:t>
      </w:r>
    </w:p>
    <w:p w14:paraId="716824B6"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rPr>
      </w:pPr>
      <w:r w:rsidRPr="002D3CB5">
        <w:rPr>
          <w:rFonts w:eastAsia="仿宋_GB2312" w:hint="eastAsia"/>
          <w:color w:val="000000"/>
          <w:sz w:val="32"/>
          <w:szCs w:val="32"/>
        </w:rPr>
        <w:t>（二）现货买卖协议；</w:t>
      </w:r>
    </w:p>
    <w:p w14:paraId="4355450A"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rPr>
      </w:pPr>
      <w:r w:rsidRPr="002D3CB5">
        <w:rPr>
          <w:rFonts w:eastAsia="仿宋_GB2312" w:hint="eastAsia"/>
          <w:color w:val="000000"/>
          <w:sz w:val="32"/>
          <w:szCs w:val="32"/>
        </w:rPr>
        <w:t>（三）相关的货款证明；</w:t>
      </w:r>
    </w:p>
    <w:p w14:paraId="39467244"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rPr>
      </w:pPr>
      <w:r w:rsidRPr="002D3CB5">
        <w:rPr>
          <w:rFonts w:eastAsia="仿宋_GB2312" w:hint="eastAsia"/>
          <w:color w:val="000000"/>
          <w:sz w:val="32"/>
          <w:szCs w:val="32"/>
        </w:rPr>
        <w:t>（四）相关的标准仓单、入库单、存货单等货物持有证明。</w:t>
      </w:r>
    </w:p>
    <w:p w14:paraId="5E9A682D" w14:textId="77777777" w:rsidR="00F1647D" w:rsidRPr="002D3CB5" w:rsidRDefault="00F1647D" w:rsidP="00F1647D">
      <w:pPr>
        <w:adjustRightInd w:val="0"/>
        <w:snapToGrid w:val="0"/>
        <w:spacing w:line="580" w:lineRule="exact"/>
        <w:ind w:firstLineChars="200" w:firstLine="640"/>
        <w:rPr>
          <w:rFonts w:eastAsia="仿宋_GB2312"/>
          <w:color w:val="000000"/>
          <w:sz w:val="32"/>
          <w:szCs w:val="32"/>
        </w:rPr>
      </w:pPr>
      <w:r w:rsidRPr="002D3CB5">
        <w:rPr>
          <w:rFonts w:eastAsia="仿宋_GB2312" w:hint="eastAsia"/>
          <w:color w:val="000000"/>
          <w:sz w:val="32"/>
          <w:szCs w:val="32"/>
        </w:rPr>
        <w:t>黄大豆</w:t>
      </w:r>
      <w:r w:rsidRPr="002D3CB5">
        <w:rPr>
          <w:rFonts w:eastAsia="仿宋_GB2312"/>
          <w:color w:val="000000"/>
          <w:sz w:val="32"/>
          <w:szCs w:val="32"/>
        </w:rPr>
        <w:t>2</w:t>
      </w:r>
      <w:r w:rsidRPr="002D3CB5">
        <w:rPr>
          <w:rFonts w:eastAsia="仿宋_GB2312" w:hint="eastAsia"/>
          <w:color w:val="000000"/>
          <w:sz w:val="32"/>
          <w:szCs w:val="32"/>
        </w:rPr>
        <w:t>号、苯乙烯</w:t>
      </w:r>
      <w:r w:rsidRPr="002D3CB5">
        <w:rPr>
          <w:rFonts w:eastAsia="仿宋_GB2312" w:hint="eastAsia"/>
          <w:color w:val="000000"/>
          <w:sz w:val="32"/>
          <w:szCs w:val="32"/>
          <w:shd w:val="pct15" w:color="auto" w:fill="FFFFFF"/>
        </w:rPr>
        <w:t>、液化石油气</w:t>
      </w:r>
      <w:r w:rsidRPr="002D3CB5">
        <w:rPr>
          <w:rFonts w:eastAsia="仿宋_GB2312" w:hint="eastAsia"/>
          <w:color w:val="000000"/>
          <w:sz w:val="32"/>
          <w:szCs w:val="32"/>
        </w:rPr>
        <w:t>等品种期货业务细则对期转现申请材料另有规定的，适用其规定。</w:t>
      </w:r>
    </w:p>
    <w:p w14:paraId="649B7F81" w14:textId="77777777" w:rsidR="00F1647D" w:rsidRPr="002D3CB5" w:rsidRDefault="00F1647D" w:rsidP="00F1647D">
      <w:pPr>
        <w:widowControl/>
        <w:shd w:val="clear" w:color="auto" w:fill="FFFFFF"/>
        <w:spacing w:line="480" w:lineRule="auto"/>
        <w:rPr>
          <w:rFonts w:eastAsia="仿宋_GB2312"/>
          <w:color w:val="000000"/>
          <w:sz w:val="32"/>
          <w:szCs w:val="32"/>
        </w:rPr>
      </w:pPr>
      <w:r w:rsidRPr="002D3CB5">
        <w:rPr>
          <w:rFonts w:ascii="仿宋_GB2312" w:eastAsia="仿宋_GB2312" w:hAnsi="微软雅黑" w:hint="eastAsia"/>
          <w:color w:val="333333"/>
          <w:kern w:val="0"/>
          <w:sz w:val="32"/>
          <w:szCs w:val="32"/>
          <w:lang w:val="en-GB"/>
        </w:rPr>
        <w:t xml:space="preserve">　</w:t>
      </w:r>
      <w:r w:rsidRPr="002D3CB5">
        <w:rPr>
          <w:rFonts w:eastAsia="仿宋_GB2312" w:hint="eastAsia"/>
          <w:color w:val="000000"/>
          <w:sz w:val="32"/>
          <w:szCs w:val="32"/>
        </w:rPr>
        <w:t xml:space="preserve">　第三十九条</w:t>
      </w:r>
      <w:r w:rsidRPr="002D3CB5">
        <w:rPr>
          <w:rFonts w:eastAsia="仿宋_GB2312" w:hint="eastAsia"/>
          <w:color w:val="000000"/>
          <w:sz w:val="32"/>
          <w:szCs w:val="32"/>
        </w:rPr>
        <w:t xml:space="preserve"> </w:t>
      </w:r>
      <w:r w:rsidRPr="002D3CB5">
        <w:rPr>
          <w:rFonts w:eastAsia="仿宋_GB2312" w:hint="eastAsia"/>
          <w:color w:val="000000"/>
          <w:sz w:val="32"/>
          <w:szCs w:val="32"/>
        </w:rPr>
        <w:t>滚动交割流程的第一日是配对日。</w:t>
      </w:r>
    </w:p>
    <w:p w14:paraId="3C776D0D" w14:textId="77777777" w:rsidR="00F1647D" w:rsidRPr="002D3CB5" w:rsidRDefault="00F1647D" w:rsidP="00F1647D">
      <w:pPr>
        <w:widowControl/>
        <w:shd w:val="clear" w:color="auto" w:fill="FFFFFF"/>
        <w:spacing w:line="480" w:lineRule="auto"/>
        <w:rPr>
          <w:rFonts w:eastAsia="仿宋_GB2312"/>
          <w:color w:val="000000"/>
          <w:sz w:val="32"/>
          <w:szCs w:val="32"/>
        </w:rPr>
      </w:pPr>
      <w:r w:rsidRPr="002D3CB5">
        <w:rPr>
          <w:rFonts w:eastAsia="仿宋_GB2312" w:hint="eastAsia"/>
          <w:color w:val="000000"/>
          <w:sz w:val="32"/>
          <w:szCs w:val="32"/>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w:t>
      </w:r>
      <w:r w:rsidRPr="002D3CB5">
        <w:rPr>
          <w:rFonts w:eastAsia="仿宋_GB2312" w:hint="eastAsia"/>
          <w:color w:val="000000"/>
          <w:sz w:val="32"/>
          <w:szCs w:val="32"/>
        </w:rPr>
        <w:t>2</w:t>
      </w:r>
      <w:r w:rsidRPr="002D3CB5">
        <w:rPr>
          <w:rFonts w:eastAsia="仿宋_GB2312" w:hint="eastAsia"/>
          <w:color w:val="000000"/>
          <w:sz w:val="32"/>
          <w:szCs w:val="32"/>
        </w:rPr>
        <w:t>号品种，只能以厂库标准仓单申报交割。</w:t>
      </w:r>
    </w:p>
    <w:p w14:paraId="4C9F68DC" w14:textId="77777777" w:rsidR="00F1647D" w:rsidRPr="002D3CB5" w:rsidRDefault="00F1647D" w:rsidP="00F1647D">
      <w:pPr>
        <w:widowControl/>
        <w:shd w:val="clear" w:color="auto" w:fill="FFFFFF"/>
        <w:spacing w:line="480" w:lineRule="auto"/>
        <w:ind w:firstLine="645"/>
        <w:rPr>
          <w:rFonts w:eastAsia="仿宋_GB2312"/>
          <w:color w:val="000000"/>
          <w:sz w:val="32"/>
          <w:szCs w:val="32"/>
        </w:rPr>
      </w:pPr>
      <w:r w:rsidRPr="002D3CB5">
        <w:rPr>
          <w:rFonts w:eastAsia="仿宋_GB2312" w:hint="eastAsia"/>
          <w:color w:val="000000"/>
          <w:sz w:val="32"/>
          <w:szCs w:val="32"/>
        </w:rPr>
        <w:t>（二）买方申报意向。持有交割月单向买持仓的买方在交割月第一个交易日至最后交易日前一交易日闭市前可以向交易所申报交割意向。</w:t>
      </w:r>
    </w:p>
    <w:p w14:paraId="1A86914C" w14:textId="77777777" w:rsidR="00F1647D" w:rsidRPr="002D3CB5" w:rsidRDefault="00F1647D" w:rsidP="00F1647D">
      <w:pPr>
        <w:widowControl/>
        <w:shd w:val="clear" w:color="auto" w:fill="FFFFFF"/>
        <w:spacing w:line="480" w:lineRule="auto"/>
        <w:ind w:firstLine="645"/>
        <w:rPr>
          <w:rFonts w:eastAsia="仿宋_GB2312"/>
          <w:color w:val="000000"/>
          <w:sz w:val="32"/>
          <w:szCs w:val="32"/>
          <w:shd w:val="pct15" w:color="auto" w:fill="FFFFFF"/>
        </w:rPr>
      </w:pPr>
      <w:r w:rsidRPr="002D3CB5">
        <w:rPr>
          <w:rFonts w:eastAsia="仿宋_GB2312" w:hint="eastAsia"/>
          <w:color w:val="000000"/>
          <w:sz w:val="32"/>
          <w:szCs w:val="32"/>
          <w:shd w:val="pct15" w:color="auto" w:fill="FFFFFF"/>
        </w:rPr>
        <w:t>液化石油气等品种期货业务细则对滚动交割配对日卖方申报交割和买方申报意向另有规定的，适用其规定。</w:t>
      </w:r>
    </w:p>
    <w:p w14:paraId="3780CE20" w14:textId="77777777" w:rsidR="00F1647D" w:rsidRPr="002D3CB5" w:rsidRDefault="00F1647D" w:rsidP="00F1647D">
      <w:pPr>
        <w:widowControl/>
        <w:shd w:val="clear" w:color="auto" w:fill="FFFFFF"/>
        <w:spacing w:line="480" w:lineRule="auto"/>
        <w:ind w:firstLine="645"/>
        <w:rPr>
          <w:rFonts w:eastAsia="仿宋_GB2312"/>
          <w:color w:val="000000"/>
          <w:sz w:val="32"/>
          <w:szCs w:val="32"/>
        </w:rPr>
      </w:pPr>
      <w:r w:rsidRPr="002D3CB5">
        <w:rPr>
          <w:rFonts w:eastAsia="仿宋_GB2312" w:hint="eastAsia"/>
          <w:color w:val="000000"/>
          <w:sz w:val="32"/>
          <w:szCs w:val="32"/>
        </w:rPr>
        <w:t>第四十条</w:t>
      </w:r>
      <w:r w:rsidRPr="002D3CB5">
        <w:rPr>
          <w:rFonts w:eastAsia="仿宋_GB2312" w:hint="eastAsia"/>
          <w:color w:val="000000"/>
          <w:sz w:val="32"/>
          <w:szCs w:val="32"/>
        </w:rPr>
        <w:t xml:space="preserve"> </w:t>
      </w:r>
      <w:r w:rsidRPr="002D3CB5">
        <w:rPr>
          <w:rFonts w:eastAsia="仿宋_GB2312" w:hint="eastAsia"/>
          <w:color w:val="000000"/>
          <w:sz w:val="32"/>
          <w:szCs w:val="32"/>
        </w:rPr>
        <w:t>配对日闭市后，交易所通过系统，按照“申报意向优先、含有建仓时间最早的持仓优先”原则，确定参与配对的买方持仓。</w:t>
      </w:r>
    </w:p>
    <w:p w14:paraId="63708055" w14:textId="77777777" w:rsidR="00F1647D" w:rsidRPr="002D3CB5" w:rsidRDefault="00F1647D" w:rsidP="00F1647D">
      <w:pPr>
        <w:widowControl/>
        <w:shd w:val="clear" w:color="auto" w:fill="FFFFFF"/>
        <w:spacing w:line="480" w:lineRule="auto"/>
        <w:rPr>
          <w:rFonts w:eastAsia="仿宋_GB2312"/>
          <w:color w:val="000000"/>
          <w:sz w:val="32"/>
          <w:szCs w:val="32"/>
        </w:rPr>
      </w:pPr>
      <w:r w:rsidRPr="002D3CB5">
        <w:rPr>
          <w:rFonts w:eastAsia="仿宋_GB2312" w:hint="eastAsia"/>
          <w:color w:val="000000"/>
          <w:sz w:val="32"/>
          <w:szCs w:val="32"/>
        </w:rPr>
        <w:t xml:space="preserve">　　对于选取的买卖双方，交易所先以仓库为单位汇总卖方申报交割的仓单数量，在买方和仓库之间按照“最少配对数”原则进行配对，确定买方交割对应的仓库和在该仓库交割的数量；再将配好仓库的买方与申请交割且持有该仓库仓单的卖方以“最少配对数”原则进行配对，确定交割对应的买卖双方。配对结果一经确定，买卖双方不得变更。</w:t>
      </w:r>
    </w:p>
    <w:p w14:paraId="6DF82D7E" w14:textId="77777777" w:rsidR="00F1647D" w:rsidRPr="002D3CB5" w:rsidRDefault="00F1647D" w:rsidP="00F1647D">
      <w:pPr>
        <w:widowControl/>
        <w:shd w:val="clear" w:color="auto" w:fill="FFFFFF"/>
        <w:spacing w:line="480" w:lineRule="auto"/>
        <w:ind w:firstLine="640"/>
        <w:rPr>
          <w:rFonts w:eastAsia="仿宋_GB2312"/>
          <w:color w:val="000000"/>
          <w:sz w:val="32"/>
          <w:szCs w:val="32"/>
        </w:rPr>
      </w:pPr>
      <w:r w:rsidRPr="002D3CB5">
        <w:rPr>
          <w:rFonts w:eastAsia="仿宋_GB2312" w:hint="eastAsia"/>
          <w:color w:val="000000"/>
          <w:sz w:val="32"/>
          <w:szCs w:val="32"/>
        </w:rPr>
        <w:t>对于集团交割仓库的标准仓单，以分库为单位申报交割意向，进行交割配对。</w:t>
      </w:r>
    </w:p>
    <w:p w14:paraId="64F63B33" w14:textId="77777777" w:rsidR="00F1647D" w:rsidRPr="002D3CB5" w:rsidRDefault="00F1647D" w:rsidP="00F1647D">
      <w:pPr>
        <w:widowControl/>
        <w:shd w:val="clear" w:color="auto" w:fill="FFFFFF"/>
        <w:spacing w:line="480" w:lineRule="auto"/>
        <w:ind w:firstLine="640"/>
        <w:rPr>
          <w:rFonts w:eastAsia="仿宋_GB2312"/>
          <w:color w:val="000000"/>
          <w:sz w:val="32"/>
          <w:szCs w:val="32"/>
        </w:rPr>
      </w:pPr>
      <w:r w:rsidRPr="002D3CB5">
        <w:rPr>
          <w:rFonts w:eastAsia="仿宋_GB2312" w:hint="eastAsia"/>
          <w:color w:val="000000"/>
          <w:sz w:val="32"/>
          <w:szCs w:val="32"/>
        </w:rPr>
        <w:t>纤维板</w:t>
      </w:r>
      <w:r w:rsidRPr="002D3CB5">
        <w:rPr>
          <w:rFonts w:eastAsia="仿宋_GB2312" w:hint="eastAsia"/>
          <w:color w:val="000000"/>
          <w:sz w:val="32"/>
          <w:szCs w:val="32"/>
          <w:shd w:val="pct15" w:color="auto" w:fill="FFFFFF"/>
        </w:rPr>
        <w:t>、液化石油气</w:t>
      </w:r>
      <w:r w:rsidRPr="002D3CB5">
        <w:rPr>
          <w:rFonts w:eastAsia="仿宋_GB2312" w:hint="eastAsia"/>
          <w:color w:val="000000"/>
          <w:sz w:val="32"/>
          <w:szCs w:val="32"/>
        </w:rPr>
        <w:t>等品种期货业务细则对滚动交割配对范围、配对原则和方法另有规定的，适用其规定。</w:t>
      </w:r>
    </w:p>
    <w:p w14:paraId="5549FA41" w14:textId="77777777" w:rsidR="00F1647D" w:rsidRPr="002D3CB5" w:rsidRDefault="00F1647D" w:rsidP="00F1647D">
      <w:pPr>
        <w:widowControl/>
        <w:shd w:val="clear" w:color="auto" w:fill="FFFFFF"/>
        <w:adjustRightInd w:val="0"/>
        <w:snapToGrid w:val="0"/>
        <w:spacing w:line="580" w:lineRule="exact"/>
        <w:ind w:firstLineChars="200" w:firstLine="640"/>
        <w:rPr>
          <w:rFonts w:eastAsia="仿宋_GB2312"/>
          <w:color w:val="000000"/>
          <w:kern w:val="0"/>
          <w:sz w:val="32"/>
          <w:szCs w:val="32"/>
        </w:rPr>
      </w:pPr>
      <w:r w:rsidRPr="002D3CB5">
        <w:rPr>
          <w:rFonts w:eastAsia="仿宋_GB2312" w:hint="eastAsia"/>
          <w:color w:val="000000"/>
          <w:kern w:val="0"/>
          <w:sz w:val="32"/>
          <w:szCs w:val="32"/>
        </w:rPr>
        <w:t>第六十一条</w:t>
      </w:r>
      <w:r w:rsidRPr="002D3CB5">
        <w:rPr>
          <w:rFonts w:eastAsia="仿宋_GB2312" w:hint="eastAsia"/>
          <w:color w:val="000000"/>
          <w:kern w:val="0"/>
          <w:sz w:val="32"/>
          <w:szCs w:val="32"/>
        </w:rPr>
        <w:t xml:space="preserve"> </w:t>
      </w:r>
      <w:r w:rsidRPr="002D3CB5">
        <w:rPr>
          <w:rFonts w:eastAsia="仿宋_GB2312" w:hint="eastAsia"/>
          <w:color w:val="000000"/>
          <w:kern w:val="0"/>
          <w:sz w:val="32"/>
          <w:szCs w:val="32"/>
        </w:rPr>
        <w:t>一次性交割是指在合约最后交易日后，交易所组织所有未平仓合约持有者进行交割的交割方式。</w:t>
      </w:r>
    </w:p>
    <w:p w14:paraId="12126A94" w14:textId="77777777" w:rsidR="00F1647D" w:rsidRPr="002D3CB5" w:rsidRDefault="00F1647D" w:rsidP="00F1647D">
      <w:pPr>
        <w:widowControl/>
        <w:shd w:val="clear" w:color="auto" w:fill="FFFFFF"/>
        <w:adjustRightInd w:val="0"/>
        <w:snapToGrid w:val="0"/>
        <w:spacing w:line="580" w:lineRule="exact"/>
        <w:rPr>
          <w:rFonts w:eastAsia="仿宋_GB2312"/>
          <w:color w:val="000000"/>
          <w:kern w:val="0"/>
          <w:sz w:val="32"/>
          <w:szCs w:val="32"/>
        </w:rPr>
      </w:pPr>
      <w:r w:rsidRPr="002D3CB5">
        <w:rPr>
          <w:rFonts w:eastAsia="仿宋_GB2312" w:hint="eastAsia"/>
          <w:color w:val="000000"/>
          <w:kern w:val="0"/>
          <w:sz w:val="32"/>
          <w:szCs w:val="32"/>
        </w:rPr>
        <w:t xml:space="preserve">　　一次性交割在</w:t>
      </w:r>
      <w:r w:rsidRPr="002D3CB5">
        <w:rPr>
          <w:rFonts w:eastAsia="仿宋_GB2312"/>
          <w:color w:val="000000"/>
          <w:kern w:val="0"/>
          <w:sz w:val="32"/>
          <w:szCs w:val="32"/>
        </w:rPr>
        <w:t>3</w:t>
      </w:r>
      <w:r w:rsidRPr="002D3CB5">
        <w:rPr>
          <w:rFonts w:eastAsia="仿宋_GB2312" w:hint="eastAsia"/>
          <w:color w:val="000000"/>
          <w:kern w:val="0"/>
          <w:sz w:val="32"/>
          <w:szCs w:val="32"/>
        </w:rPr>
        <w:t>个交易日内完成，分别为标准仓单提交日、配对日和交收日（最后交割日）。在合约最后交易日后，所有未平仓合约的持有者须以交割履约，同一客户号买卖持仓相对应部分的持仓视为自动平仓，不予办理交割，平仓价按一次性交割的交割结算价计算。</w:t>
      </w:r>
    </w:p>
    <w:p w14:paraId="678F76DF" w14:textId="77777777" w:rsidR="00F1647D" w:rsidRPr="002D3CB5" w:rsidRDefault="00F1647D" w:rsidP="00F1647D">
      <w:pPr>
        <w:adjustRightInd w:val="0"/>
        <w:snapToGrid w:val="0"/>
        <w:spacing w:line="580" w:lineRule="exact"/>
        <w:ind w:firstLineChars="200" w:firstLine="640"/>
        <w:rPr>
          <w:rFonts w:eastAsia="仿宋_GB2312"/>
          <w:color w:val="000000"/>
          <w:kern w:val="0"/>
          <w:sz w:val="32"/>
          <w:szCs w:val="32"/>
        </w:rPr>
      </w:pPr>
      <w:r w:rsidRPr="002D3CB5">
        <w:rPr>
          <w:rFonts w:eastAsia="仿宋_GB2312" w:hint="eastAsia"/>
          <w:color w:val="000000"/>
          <w:kern w:val="0"/>
          <w:sz w:val="32"/>
          <w:szCs w:val="32"/>
        </w:rPr>
        <w:t>一次性交割的交割结算价采用该期货合约自交割月第一个交易日起至最后交易日所有成交价格的加权平均价。鸡蛋、乙二醇、苯乙烯</w:t>
      </w:r>
      <w:r w:rsidRPr="002D3CB5">
        <w:rPr>
          <w:rFonts w:eastAsia="仿宋_GB2312" w:hint="eastAsia"/>
          <w:color w:val="000000"/>
          <w:kern w:val="0"/>
          <w:sz w:val="32"/>
          <w:szCs w:val="32"/>
          <w:shd w:val="pct15" w:color="auto" w:fill="FFFFFF"/>
        </w:rPr>
        <w:t>、液化石油气</w:t>
      </w:r>
      <w:r w:rsidRPr="002D3CB5">
        <w:rPr>
          <w:rFonts w:eastAsia="仿宋_GB2312" w:hint="eastAsia"/>
          <w:color w:val="000000"/>
          <w:kern w:val="0"/>
          <w:sz w:val="32"/>
          <w:szCs w:val="32"/>
        </w:rPr>
        <w:t>等品种期货业务细则对一次性交割的交割结算价另有规定的，适用其规定。</w:t>
      </w:r>
    </w:p>
    <w:p w14:paraId="05D03151" w14:textId="77777777" w:rsidR="00F1647D" w:rsidRPr="002D3CB5" w:rsidRDefault="00F1647D" w:rsidP="00F1647D">
      <w:pPr>
        <w:ind w:firstLineChars="200" w:firstLine="640"/>
        <w:rPr>
          <w:rFonts w:eastAsia="仿宋_GB2312"/>
          <w:color w:val="000000"/>
          <w:kern w:val="0"/>
          <w:sz w:val="32"/>
          <w:szCs w:val="32"/>
        </w:rPr>
      </w:pPr>
    </w:p>
    <w:p w14:paraId="1F009DE9" w14:textId="77777777" w:rsidR="00F1647D" w:rsidRPr="002D3CB5" w:rsidRDefault="00F1647D" w:rsidP="00F1647D">
      <w:pPr>
        <w:ind w:firstLineChars="200" w:firstLine="560"/>
      </w:pPr>
      <w:r w:rsidRPr="002D3CB5">
        <w:rPr>
          <w:rFonts w:ascii="楷体" w:eastAsia="楷体" w:hAnsi="楷体" w:hint="eastAsia"/>
          <w:color w:val="000000"/>
          <w:sz w:val="28"/>
          <w:szCs w:val="28"/>
        </w:rPr>
        <w:t>注：阴影部分为新增内容</w:t>
      </w:r>
      <w:r w:rsidRPr="002D3CB5">
        <w:rPr>
          <w:rFonts w:ascii="楷体" w:eastAsia="楷体" w:hAnsi="楷体"/>
          <w:sz w:val="28"/>
          <w:szCs w:val="28"/>
        </w:rPr>
        <w:t>，双划线部分为删除内容</w:t>
      </w:r>
      <w:r w:rsidRPr="002D3CB5">
        <w:rPr>
          <w:rFonts w:ascii="楷体" w:eastAsia="楷体" w:hAnsi="楷体" w:hint="eastAsia"/>
          <w:color w:val="000000"/>
          <w:sz w:val="28"/>
          <w:szCs w:val="28"/>
        </w:rPr>
        <w:t>。</w:t>
      </w:r>
    </w:p>
    <w:p w14:paraId="39F88F6A" w14:textId="6DC0B21A" w:rsidR="00A2554E" w:rsidRPr="00153BD6" w:rsidRDefault="00A2554E" w:rsidP="00F1647D"/>
    <w:sectPr w:rsidR="00A2554E" w:rsidRPr="00153B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DA113" w14:textId="77777777" w:rsidR="00FE703E" w:rsidRDefault="00FE703E" w:rsidP="00BB77D7">
      <w:r>
        <w:separator/>
      </w:r>
    </w:p>
  </w:endnote>
  <w:endnote w:type="continuationSeparator" w:id="0">
    <w:p w14:paraId="494005A4" w14:textId="77777777" w:rsidR="00FE703E" w:rsidRDefault="00FE703E" w:rsidP="00BB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796651"/>
      <w:docPartObj>
        <w:docPartGallery w:val="Page Numbers (Bottom of Page)"/>
        <w:docPartUnique/>
      </w:docPartObj>
    </w:sdtPr>
    <w:sdtContent>
      <w:p w14:paraId="7AFE21E2" w14:textId="53EE0495" w:rsidR="00F1647D" w:rsidRDefault="00F1647D" w:rsidP="00F1647D">
        <w:pPr>
          <w:pStyle w:val="a7"/>
          <w:jc w:val="center"/>
          <w:rPr>
            <w:rFonts w:hint="eastAsia"/>
          </w:rPr>
        </w:pPr>
        <w:r>
          <w:fldChar w:fldCharType="begin"/>
        </w:r>
        <w:r>
          <w:instrText>PAGE   \* MERGEFORMAT</w:instrText>
        </w:r>
        <w:r>
          <w:fldChar w:fldCharType="separate"/>
        </w:r>
        <w:r w:rsidRPr="00F1647D">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50BB6" w14:textId="77777777" w:rsidR="00FE703E" w:rsidRDefault="00FE703E" w:rsidP="00BB77D7">
      <w:r>
        <w:separator/>
      </w:r>
    </w:p>
  </w:footnote>
  <w:footnote w:type="continuationSeparator" w:id="0">
    <w:p w14:paraId="1AB2FE9A" w14:textId="77777777" w:rsidR="00FE703E" w:rsidRDefault="00FE703E" w:rsidP="00BB7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28"/>
    <w:rsid w:val="00051755"/>
    <w:rsid w:val="00153BD6"/>
    <w:rsid w:val="001777FF"/>
    <w:rsid w:val="00224528"/>
    <w:rsid w:val="007B1EC4"/>
    <w:rsid w:val="00A2554E"/>
    <w:rsid w:val="00BB77D7"/>
    <w:rsid w:val="00F1647D"/>
    <w:rsid w:val="00FE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4C81"/>
  <w15:chartTrackingRefBased/>
  <w15:docId w15:val="{01E7FC27-67BB-4A37-9BE4-3957538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BB77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77D7"/>
    <w:rPr>
      <w:sz w:val="18"/>
      <w:szCs w:val="18"/>
    </w:rPr>
  </w:style>
  <w:style w:type="paragraph" w:styleId="a7">
    <w:name w:val="footer"/>
    <w:basedOn w:val="a"/>
    <w:link w:val="a8"/>
    <w:uiPriority w:val="99"/>
    <w:unhideWhenUsed/>
    <w:rsid w:val="00BB77D7"/>
    <w:pPr>
      <w:tabs>
        <w:tab w:val="center" w:pos="4153"/>
        <w:tab w:val="right" w:pos="8306"/>
      </w:tabs>
      <w:snapToGrid w:val="0"/>
      <w:jc w:val="left"/>
    </w:pPr>
    <w:rPr>
      <w:sz w:val="18"/>
      <w:szCs w:val="18"/>
    </w:rPr>
  </w:style>
  <w:style w:type="character" w:customStyle="1" w:styleId="a8">
    <w:name w:val="页脚 字符"/>
    <w:basedOn w:val="a0"/>
    <w:link w:val="a7"/>
    <w:uiPriority w:val="99"/>
    <w:rsid w:val="00BB77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51169-759B-4179-8EA0-88A5DDC6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5EE2E-5E0A-4071-855B-DC1EEB0345C9}">
  <ds:schemaRefs>
    <ds:schemaRef ds:uri="http://schemas.microsoft.com/sharepoint/v3/contenttype/forms"/>
  </ds:schemaRefs>
</ds:datastoreItem>
</file>

<file path=customXml/itemProps3.xml><?xml version="1.0" encoding="utf-8"?>
<ds:datastoreItem xmlns:ds="http://schemas.openxmlformats.org/officeDocument/2006/customXml" ds:itemID="{003559E5-C579-468E-A623-0CCC3EFA042C}">
  <ds:schemaRefs>
    <ds:schemaRef ds:uri="http://purl.org/dc/terms/"/>
    <ds:schemaRef ds:uri="http://purl.org/dc/dcmitype/"/>
    <ds:schemaRef ds:uri="4f16167e-0980-47ed-bfa9-106d2637988c"/>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3</cp:revision>
  <dcterms:created xsi:type="dcterms:W3CDTF">2020-03-09T10:41:00Z</dcterms:created>
  <dcterms:modified xsi:type="dcterms:W3CDTF">2020-03-09T10:42:00Z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