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CD" w:rsidRPr="00F16126" w:rsidRDefault="002854CD" w:rsidP="0011101C">
      <w:pPr>
        <w:snapToGrid w:val="0"/>
        <w:spacing w:line="560" w:lineRule="exact"/>
        <w:jc w:val="center"/>
        <w:rPr>
          <w:rFonts w:ascii="方正大标宋简体" w:eastAsia="方正大标宋简体" w:hAnsi="Calibri"/>
          <w:sz w:val="44"/>
          <w:szCs w:val="44"/>
        </w:rPr>
      </w:pPr>
      <w:r w:rsidRPr="00F16126">
        <w:rPr>
          <w:rFonts w:ascii="方正大标宋简体" w:eastAsia="方正大标宋简体" w:hAnsi="Calibri" w:hint="eastAsia"/>
          <w:sz w:val="44"/>
          <w:szCs w:val="44"/>
        </w:rPr>
        <w:t>《中国金融期货交易所国债期货合约期转现交易细则》修订对照表</w:t>
      </w:r>
    </w:p>
    <w:p w:rsidR="002854CD" w:rsidRPr="00F16126" w:rsidRDefault="002854CD" w:rsidP="0011101C">
      <w:pPr>
        <w:spacing w:line="560" w:lineRule="exact"/>
        <w:ind w:firstLine="640"/>
        <w:jc w:val="center"/>
        <w:rPr>
          <w:rFonts w:ascii="Calibri" w:hAnsi="Calibri"/>
          <w:szCs w:val="22"/>
        </w:rPr>
      </w:pPr>
    </w:p>
    <w:p w:rsidR="002854CD" w:rsidRPr="00F16126" w:rsidRDefault="002854CD" w:rsidP="0011101C">
      <w:pPr>
        <w:spacing w:line="560" w:lineRule="exact"/>
        <w:jc w:val="center"/>
        <w:rPr>
          <w:rFonts w:eastAsia="方正仿宋简体"/>
          <w:sz w:val="32"/>
          <w:szCs w:val="32"/>
        </w:rPr>
      </w:pPr>
      <w:r w:rsidRPr="00F16126">
        <w:rPr>
          <w:rFonts w:eastAsia="方正仿宋简体" w:hint="eastAsia"/>
          <w:sz w:val="32"/>
          <w:szCs w:val="32"/>
        </w:rPr>
        <w:t>（</w:t>
      </w:r>
      <w:r w:rsidRPr="00F16126">
        <w:rPr>
          <w:rFonts w:eastAsia="方正仿宋简体" w:hint="eastAsia"/>
          <w:b/>
          <w:sz w:val="32"/>
          <w:szCs w:val="32"/>
          <w:shd w:val="pct15" w:color="auto" w:fill="FFFFFF"/>
        </w:rPr>
        <w:t>阴影加粗部分</w:t>
      </w:r>
      <w:r w:rsidRPr="00F16126">
        <w:rPr>
          <w:rFonts w:eastAsia="方正仿宋简体" w:hint="eastAsia"/>
          <w:sz w:val="32"/>
          <w:szCs w:val="32"/>
        </w:rPr>
        <w:t>为新增，</w:t>
      </w:r>
      <w:r w:rsidRPr="00F16126">
        <w:rPr>
          <w:rFonts w:eastAsia="方正仿宋简体" w:hint="eastAsia"/>
          <w:dstrike/>
          <w:sz w:val="32"/>
          <w:szCs w:val="32"/>
        </w:rPr>
        <w:t>双删除线部分</w:t>
      </w:r>
      <w:r w:rsidRPr="00F16126">
        <w:rPr>
          <w:rFonts w:eastAsia="方正仿宋简体" w:hint="eastAsia"/>
          <w:sz w:val="32"/>
          <w:szCs w:val="32"/>
        </w:rPr>
        <w:t>为删除）</w:t>
      </w:r>
    </w:p>
    <w:p w:rsidR="002854CD" w:rsidRPr="00F16126" w:rsidRDefault="002854CD" w:rsidP="0011101C">
      <w:pPr>
        <w:spacing w:line="560" w:lineRule="exact"/>
        <w:ind w:firstLine="643"/>
        <w:jc w:val="center"/>
        <w:rPr>
          <w:rFonts w:eastAsia="方正仿宋简体"/>
          <w:b/>
          <w:sz w:val="32"/>
          <w:szCs w:val="32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109"/>
      </w:tblGrid>
      <w:tr w:rsidR="002854CD" w:rsidRPr="00F16126" w:rsidTr="002854CD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 w:hint="eastAsia"/>
                <w:b/>
                <w:sz w:val="32"/>
                <w:szCs w:val="32"/>
              </w:rPr>
              <w:t>修订稿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原条文</w:t>
            </w:r>
          </w:p>
        </w:tc>
      </w:tr>
    </w:tbl>
    <w:tbl>
      <w:tblPr>
        <w:tblStyle w:val="a"/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109"/>
      </w:tblGrid>
      <w:tr w:rsidR="002854CD" w:rsidRPr="00F16126" w:rsidTr="002854CD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t>第三条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非期货公司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会员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、</w:t>
            </w:r>
            <w:r w:rsidRPr="00F16126">
              <w:rPr>
                <w:rFonts w:eastAsia="方正仿宋简体"/>
                <w:sz w:val="32"/>
                <w:szCs w:val="32"/>
              </w:rPr>
              <w:t>客户进行期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应当符合下列条件：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（一）证券公司、基金管理公司、信托公司、银行和其他金融机构，以及社会保障类公司、合格境外机构投资者等法律、行政法规和规章规定的需要资产分户管理的特殊单位客户；</w:t>
            </w:r>
          </w:p>
          <w:p w:rsidR="002854CD" w:rsidRPr="00F16126" w:rsidRDefault="002854CD" w:rsidP="00711C53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（二）可以参与交易所国债期货合约交易；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（三）在中央国债登记结算有限责任公司开立债券账户或者</w:t>
            </w:r>
            <w:r w:rsidRPr="00F16126">
              <w:rPr>
                <w:rFonts w:eastAsia="方正仿宋简体"/>
                <w:iCs/>
                <w:sz w:val="32"/>
                <w:szCs w:val="32"/>
              </w:rPr>
              <w:t>中国</w:t>
            </w:r>
            <w:r w:rsidRPr="00F16126">
              <w:rPr>
                <w:rFonts w:eastAsia="方正仿宋简体"/>
                <w:sz w:val="32"/>
                <w:szCs w:val="32"/>
              </w:rPr>
              <w:t>证券登记</w:t>
            </w:r>
            <w:r w:rsidRPr="00F16126">
              <w:rPr>
                <w:rFonts w:eastAsia="方正仿宋简体"/>
                <w:iCs/>
                <w:sz w:val="32"/>
                <w:szCs w:val="32"/>
              </w:rPr>
              <w:t>结算有限公司</w:t>
            </w:r>
            <w:r w:rsidRPr="00F16126">
              <w:rPr>
                <w:rFonts w:eastAsia="方正仿宋简体"/>
                <w:sz w:val="32"/>
                <w:szCs w:val="32"/>
              </w:rPr>
              <w:t>开立证券账户；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150" w:firstLine="48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（四）交易所规定的其他条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件。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lastRenderedPageBreak/>
              <w:t>第三条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/>
                <w:sz w:val="32"/>
                <w:szCs w:val="32"/>
              </w:rPr>
              <w:t>客户进行期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应当符合下列条件：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（一）证券公司、基金管理公司、信托公司、银行和其他金融机构，以及社会保障类公司、合格境外机构投资者等法律、行政法规和规章规定的需要资产分户管理的特殊单位客户；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（二）可以参与交易所国债期货合约交易；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（三）在中央国债登记结算有限责任公司开立债券账户或者</w:t>
            </w:r>
            <w:r w:rsidRPr="00F16126">
              <w:rPr>
                <w:rFonts w:eastAsia="方正仿宋简体"/>
                <w:iCs/>
                <w:sz w:val="32"/>
                <w:szCs w:val="32"/>
              </w:rPr>
              <w:t>中国</w:t>
            </w:r>
            <w:r w:rsidRPr="00F16126">
              <w:rPr>
                <w:rFonts w:eastAsia="方正仿宋简体"/>
                <w:sz w:val="32"/>
                <w:szCs w:val="32"/>
              </w:rPr>
              <w:t>证券登记</w:t>
            </w:r>
            <w:r w:rsidRPr="00F16126">
              <w:rPr>
                <w:rFonts w:eastAsia="方正仿宋简体"/>
                <w:iCs/>
                <w:sz w:val="32"/>
                <w:szCs w:val="32"/>
              </w:rPr>
              <w:t>结算有限公司</w:t>
            </w:r>
            <w:r w:rsidRPr="00F16126">
              <w:rPr>
                <w:rFonts w:eastAsia="方正仿宋简体"/>
                <w:sz w:val="32"/>
                <w:szCs w:val="32"/>
              </w:rPr>
              <w:t>开立证券账户；</w:t>
            </w:r>
          </w:p>
          <w:p w:rsidR="002854CD" w:rsidRPr="00F16126" w:rsidRDefault="002854CD" w:rsidP="0011101C">
            <w:pPr>
              <w:spacing w:line="560" w:lineRule="exact"/>
              <w:ind w:firstLineChars="200" w:firstLine="640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（四）交易所规定的其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他条件。</w:t>
            </w:r>
          </w:p>
        </w:tc>
      </w:tr>
      <w:tr w:rsidR="002854CD" w:rsidRPr="00F16126" w:rsidTr="002854CD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b/>
                <w:sz w:val="32"/>
                <w:szCs w:val="32"/>
              </w:rPr>
              <w:lastRenderedPageBreak/>
              <w:t>第四条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/>
                <w:sz w:val="32"/>
                <w:szCs w:val="32"/>
              </w:rPr>
              <w:t>符合交易所规定的客户所在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金融机构或其管理机构应当通过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符合条件</w:t>
            </w:r>
            <w:r w:rsidRPr="00F16126">
              <w:rPr>
                <w:rFonts w:eastAsia="方正仿宋简体"/>
                <w:b/>
                <w:kern w:val="0"/>
                <w:sz w:val="32"/>
                <w:szCs w:val="32"/>
                <w:shd w:val="pct15" w:color="auto" w:fill="FFFFFF"/>
              </w:rPr>
              <w:t>的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会员向交易所进行备案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后</w:t>
            </w:r>
            <w:r w:rsidRPr="00F16126">
              <w:rPr>
                <w:rFonts w:eastAsia="方正仿宋简体"/>
                <w:b/>
                <w:kern w:val="0"/>
                <w:sz w:val="32"/>
                <w:szCs w:val="32"/>
                <w:shd w:val="pct15" w:color="auto" w:fill="FFFFFF"/>
              </w:rPr>
              <w:t>参与</w:t>
            </w:r>
            <w:proofErr w:type="gramStart"/>
            <w:r w:rsidRPr="00F16126">
              <w:rPr>
                <w:rFonts w:eastAsia="方正仿宋简体"/>
                <w:b/>
                <w:kern w:val="0"/>
                <w:sz w:val="32"/>
                <w:szCs w:val="32"/>
                <w:shd w:val="pct15" w:color="auto" w:fill="FFFFFF"/>
              </w:rPr>
              <w:t>期转现</w:t>
            </w:r>
            <w:r w:rsidRPr="00F16126">
              <w:rPr>
                <w:rFonts w:eastAsia="方正仿宋简体" w:hint="eastAsia"/>
                <w:b/>
                <w:kern w:val="0"/>
                <w:sz w:val="32"/>
                <w:szCs w:val="32"/>
                <w:shd w:val="pct15" w:color="auto" w:fill="FFFFFF"/>
              </w:rPr>
              <w:t>交易</w:t>
            </w:r>
            <w:proofErr w:type="gramEnd"/>
            <w:r w:rsidRPr="00F16126">
              <w:rPr>
                <w:rFonts w:eastAsia="方正仿宋简体"/>
                <w:kern w:val="0"/>
                <w:sz w:val="32"/>
                <w:szCs w:val="32"/>
              </w:rPr>
              <w:t>。</w:t>
            </w:r>
            <w:r w:rsidRPr="00F16126">
              <w:rPr>
                <w:rFonts w:eastAsia="方正仿宋简体"/>
                <w:sz w:val="32"/>
                <w:szCs w:val="32"/>
              </w:rPr>
              <w:t>申请备案应当提供下列材料：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（一）国债期货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业务备案申请书；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会员提供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服务承诺书或者包含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服务承诺的经纪服务合同；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（三）交易所要求提供的其他文件或者材料。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dstrike/>
                <w:sz w:val="32"/>
                <w:szCs w:val="32"/>
              </w:rPr>
              <w:t>前款规定的备案材料应当通过会员向交易所提交。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会员应当尽职审核备案材料，确保材料内容的真实、准确和完整。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3"/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</w:pP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非期货公司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会员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直接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向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交易所备案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后参与</w:t>
            </w:r>
            <w:proofErr w:type="gramStart"/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期转现交易</w:t>
            </w:r>
            <w:proofErr w:type="gramEnd"/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。申请备案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应当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提供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本条第一款第（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一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）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项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和第（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三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）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项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规定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的</w:t>
            </w:r>
            <w:r w:rsidRPr="00F16126">
              <w:rPr>
                <w:rFonts w:eastAsia="方正仿宋简体"/>
                <w:b/>
                <w:sz w:val="32"/>
                <w:szCs w:val="32"/>
                <w:shd w:val="pct15" w:color="auto" w:fill="FFFFFF"/>
              </w:rPr>
              <w:t>材料。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 w:hint="eastAsia"/>
                <w:b/>
                <w:sz w:val="32"/>
                <w:szCs w:val="32"/>
              </w:rPr>
              <w:t>第四条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/>
                <w:sz w:val="32"/>
                <w:szCs w:val="32"/>
              </w:rPr>
              <w:t>符合交易所规定的客户所在</w:t>
            </w:r>
            <w:r w:rsidRPr="00F16126">
              <w:rPr>
                <w:rFonts w:eastAsia="方正仿宋简体"/>
                <w:kern w:val="0"/>
                <w:sz w:val="32"/>
                <w:szCs w:val="32"/>
              </w:rPr>
              <w:t>金融机构或其管理机构应当通过会员向交易所进行备案。</w:t>
            </w:r>
            <w:r w:rsidRPr="00F16126">
              <w:rPr>
                <w:rFonts w:eastAsia="方正仿宋简体"/>
                <w:sz w:val="32"/>
                <w:szCs w:val="32"/>
              </w:rPr>
              <w:t>申请备案应当提供下列材料：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（一）国债期货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业务备案申请书；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（二）会员提供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服务承诺书或者包含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服务承诺的经纪服务合同；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（三）交易所要求提供的其他文件或者材料。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前款规定的备案材料应当通过会员向交易所提交。会员应当尽职审核备案材料，确保材料内容的真实、准确和完整。</w:t>
            </w:r>
          </w:p>
        </w:tc>
      </w:tr>
      <w:tr w:rsidR="002854CD" w:rsidRPr="00F16126" w:rsidTr="002854CD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t>第五条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/>
                <w:sz w:val="32"/>
                <w:szCs w:val="32"/>
              </w:rPr>
              <w:t>交易所在收到符合规定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的备案申请材料之日起</w:t>
            </w:r>
            <w:r w:rsidRPr="00F16126">
              <w:rPr>
                <w:rFonts w:eastAsia="方正仿宋简体"/>
                <w:sz w:val="32"/>
                <w:szCs w:val="32"/>
              </w:rPr>
              <w:t>5</w:t>
            </w:r>
            <w:r w:rsidRPr="00F16126">
              <w:rPr>
                <w:rFonts w:eastAsia="方正仿宋简体"/>
                <w:sz w:val="32"/>
                <w:szCs w:val="32"/>
              </w:rPr>
              <w:t>个交易日内予以备案，并通知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lastRenderedPageBreak/>
              <w:t>第五条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/>
                <w:sz w:val="32"/>
                <w:szCs w:val="32"/>
              </w:rPr>
              <w:t>交易所在收到符合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规定的备案申请材料之日起</w:t>
            </w:r>
            <w:r w:rsidRPr="00F16126">
              <w:rPr>
                <w:rFonts w:eastAsia="方正仿宋简体"/>
                <w:sz w:val="32"/>
                <w:szCs w:val="32"/>
              </w:rPr>
              <w:t>5</w:t>
            </w:r>
            <w:r w:rsidRPr="00F16126">
              <w:rPr>
                <w:rFonts w:eastAsia="方正仿宋简体"/>
                <w:sz w:val="32"/>
                <w:szCs w:val="32"/>
              </w:rPr>
              <w:t>个交易日内予以备案，并通知会员。</w:t>
            </w:r>
          </w:p>
        </w:tc>
      </w:tr>
    </w:tbl>
    <w:tbl>
      <w:tblPr>
        <w:tblW w:w="5120" w:type="pct"/>
        <w:tblInd w:w="-147" w:type="dxa"/>
        <w:tblLook w:val="04A0" w:firstRow="1" w:lastRow="0" w:firstColumn="1" w:lastColumn="0" w:noHBand="0" w:noVBand="1"/>
      </w:tblPr>
      <w:tblGrid>
        <w:gridCol w:w="4820"/>
        <w:gridCol w:w="4109"/>
      </w:tblGrid>
      <w:tr w:rsidR="002854CD" w:rsidTr="002854CD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lastRenderedPageBreak/>
              <w:t>第六条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申报应当包括下列信息：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（一）交易时间信息：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协商一致日期、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协商一致时间等；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（二）交易双方信息：期货合约卖方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会员、卖方客户、卖方交易员和期货合约买方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会员、买方客户、买方交易员等；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  <w:highlight w:val="yellow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（三）期货合约交易信息：合约代码、成交价格、买卖方向、数量等；</w:t>
            </w:r>
          </w:p>
          <w:p w:rsidR="002854CD" w:rsidRPr="00F16126" w:rsidRDefault="002854CD" w:rsidP="0011101C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（四）有价证券或</w:t>
            </w:r>
            <w:r w:rsidRPr="00F16126">
              <w:rPr>
                <w:rFonts w:eastAsia="方正仿宋简体" w:hint="eastAsia"/>
                <w:sz w:val="32"/>
                <w:szCs w:val="32"/>
              </w:rPr>
              <w:t>者</w:t>
            </w:r>
            <w:r w:rsidRPr="00F16126">
              <w:rPr>
                <w:rFonts w:eastAsia="方正仿宋简体"/>
                <w:sz w:val="32"/>
                <w:szCs w:val="32"/>
              </w:rPr>
              <w:t>相关合约交易信息：有价证券或者相关合约交易场所名称、成交编号、有价证券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名称</w:t>
            </w:r>
            <w:r w:rsidRPr="00F16126">
              <w:rPr>
                <w:rFonts w:eastAsia="方正仿宋简体"/>
                <w:sz w:val="32"/>
                <w:szCs w:val="32"/>
              </w:rPr>
              <w:t>或者相关合约标的有价证券名称、有价证券代码或者相关合约标的有价证券代码、成交日期、买卖方向、券面总额、有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价证券成交净价或者相关合约成交价格、相关合约结算日期等。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lastRenderedPageBreak/>
              <w:t>第六条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申报应当包括下列信息：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（一）交易时间信息：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协商一致日期、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协商一致时间等；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（二）交易双方信息：期货合约卖方会员、卖方客户、卖方交易员和期货合约买方会员、买方客户、买方交易员等；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sz w:val="32"/>
                <w:szCs w:val="32"/>
                <w:highlight w:val="yellow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（三）期货合约交易信息：合约代码、成交价格、买卖方向、数量等；</w:t>
            </w:r>
          </w:p>
          <w:p w:rsidR="002854CD" w:rsidRPr="00F16126" w:rsidRDefault="002854CD" w:rsidP="0011101C">
            <w:pPr>
              <w:snapToGrid w:val="0"/>
              <w:spacing w:line="560" w:lineRule="exact"/>
              <w:ind w:firstLineChars="200" w:firstLine="640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sz w:val="32"/>
                <w:szCs w:val="32"/>
              </w:rPr>
              <w:t>（四）有价证券或</w:t>
            </w:r>
            <w:r w:rsidRPr="00F16126">
              <w:rPr>
                <w:rFonts w:eastAsia="方正仿宋简体" w:hint="eastAsia"/>
                <w:sz w:val="32"/>
                <w:szCs w:val="32"/>
              </w:rPr>
              <w:t>者</w:t>
            </w:r>
            <w:r w:rsidRPr="00F16126">
              <w:rPr>
                <w:rFonts w:eastAsia="方正仿宋简体"/>
                <w:sz w:val="32"/>
                <w:szCs w:val="32"/>
              </w:rPr>
              <w:t>相关合约交易信息：有价证券或者相关合约交易场所名称、成交编号、有价证券</w:t>
            </w:r>
            <w:r w:rsidRPr="00F16126">
              <w:rPr>
                <w:rFonts w:eastAsia="方正仿宋简体" w:hint="eastAsia"/>
                <w:sz w:val="32"/>
                <w:szCs w:val="32"/>
              </w:rPr>
              <w:t>名称</w:t>
            </w:r>
            <w:r w:rsidRPr="00F16126">
              <w:rPr>
                <w:rFonts w:eastAsia="方正仿宋简体"/>
                <w:sz w:val="32"/>
                <w:szCs w:val="32"/>
              </w:rPr>
              <w:t>或者相关合约标的有价证券名称、有价证券代码或者相</w:t>
            </w:r>
            <w:r w:rsidRPr="00F16126">
              <w:rPr>
                <w:rFonts w:eastAsia="方正仿宋简体"/>
                <w:sz w:val="32"/>
                <w:szCs w:val="32"/>
              </w:rPr>
              <w:lastRenderedPageBreak/>
              <w:t>关合约标的有价证券代码、成交日期、买卖方向、券面总额、有价证券成交净价或者相关合约成交价格、相关合约结算日期等。</w:t>
            </w:r>
          </w:p>
        </w:tc>
      </w:tr>
      <w:tr w:rsidR="002854CD" w:rsidTr="002854CD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lastRenderedPageBreak/>
              <w:t>第十三条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/>
                <w:sz w:val="32"/>
                <w:szCs w:val="32"/>
              </w:rPr>
              <w:t>交易双方达成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后，应当及时通过双方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会员向交易所申报。国债期货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申报由期货合约卖方发起，卖方录入并提交后，期货合约买方确认。经双方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会员检查审核后，向交易所提交申报。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</w:t>
            </w:r>
            <w:r w:rsidRPr="00F16126">
              <w:rPr>
                <w:rFonts w:eastAsia="方正仿宋简体"/>
                <w:noProof/>
                <w:kern w:val="0"/>
                <w:sz w:val="32"/>
                <w:szCs w:val="32"/>
              </w:rPr>
              <w:t>向交易所提交的国债期货期转现交易申报当日有效。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t>第十三条</w:t>
            </w:r>
            <w:r w:rsidRPr="00F16126">
              <w:rPr>
                <w:rFonts w:eastAsia="方正仿宋简体"/>
                <w:b/>
                <w:sz w:val="32"/>
                <w:szCs w:val="32"/>
              </w:rPr>
              <w:t xml:space="preserve">  </w:t>
            </w:r>
            <w:r w:rsidRPr="00F16126">
              <w:rPr>
                <w:rFonts w:eastAsia="方正仿宋简体"/>
                <w:sz w:val="32"/>
                <w:szCs w:val="32"/>
              </w:rPr>
              <w:t>交易双方达成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后，应当及时通过双方会员向交易所申报。国债期货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申报由期货合约卖方发起，卖方录入并提交后，期货合约买方确认。经双方会员检查审核后，向交易所提交申报。会员</w:t>
            </w:r>
            <w:r w:rsidRPr="00F16126">
              <w:rPr>
                <w:rFonts w:eastAsia="方正仿宋简体"/>
                <w:noProof/>
                <w:kern w:val="0"/>
                <w:sz w:val="32"/>
                <w:szCs w:val="32"/>
              </w:rPr>
              <w:t>向交易所提交的国债期货期转现交易申报当日有效。</w:t>
            </w:r>
          </w:p>
        </w:tc>
      </w:tr>
      <w:tr w:rsidR="002854CD" w:rsidTr="002854CD">
        <w:tc>
          <w:tcPr>
            <w:tcW w:w="2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t>第十五条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 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申报由双方</w:t>
            </w:r>
            <w:r w:rsidRPr="00F16126">
              <w:rPr>
                <w:rFonts w:eastAsia="方正仿宋简体" w:hint="eastAsia"/>
                <w:b/>
                <w:sz w:val="32"/>
                <w:szCs w:val="32"/>
                <w:shd w:val="pct15" w:color="auto" w:fill="FFFFFF"/>
              </w:rPr>
              <w:t>结算</w:t>
            </w:r>
            <w:r w:rsidRPr="00F16126">
              <w:rPr>
                <w:rFonts w:eastAsia="方正仿宋简体"/>
                <w:sz w:val="32"/>
                <w:szCs w:val="32"/>
              </w:rPr>
              <w:t>会员检查审核后向交易所提交，期货合约交易申报经交易所确认后生效，并向市场发布相关成交信息。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CD" w:rsidRPr="00F16126" w:rsidRDefault="002854CD" w:rsidP="0011101C">
            <w:pPr>
              <w:snapToGrid w:val="0"/>
              <w:spacing w:line="560" w:lineRule="exact"/>
              <w:rPr>
                <w:rFonts w:eastAsia="方正仿宋简体"/>
                <w:b/>
                <w:sz w:val="32"/>
                <w:szCs w:val="32"/>
              </w:rPr>
            </w:pPr>
            <w:r w:rsidRPr="00F16126">
              <w:rPr>
                <w:rFonts w:eastAsia="方正仿宋简体"/>
                <w:b/>
                <w:sz w:val="32"/>
                <w:szCs w:val="32"/>
              </w:rPr>
              <w:t>第十五条</w:t>
            </w:r>
            <w:r w:rsidRPr="00F16126">
              <w:rPr>
                <w:rFonts w:eastAsia="方正仿宋简体"/>
                <w:sz w:val="32"/>
                <w:szCs w:val="32"/>
              </w:rPr>
              <w:t xml:space="preserve">  </w:t>
            </w:r>
            <w:proofErr w:type="gramStart"/>
            <w:r w:rsidRPr="00F16126">
              <w:rPr>
                <w:rFonts w:eastAsia="方正仿宋简体"/>
                <w:sz w:val="32"/>
                <w:szCs w:val="32"/>
              </w:rPr>
              <w:t>期转现交易</w:t>
            </w:r>
            <w:proofErr w:type="gramEnd"/>
            <w:r w:rsidRPr="00F16126">
              <w:rPr>
                <w:rFonts w:eastAsia="方正仿宋简体"/>
                <w:sz w:val="32"/>
                <w:szCs w:val="32"/>
              </w:rPr>
              <w:t>申报由双方会员检查审核后向交易所提交，期货合约交易申报经交易所确认后生效，并向市场发布相关成交信息。</w:t>
            </w:r>
          </w:p>
        </w:tc>
      </w:tr>
    </w:tbl>
    <w:p w:rsidR="00C81E30" w:rsidRDefault="00C81E30" w:rsidP="0011101C">
      <w:pPr>
        <w:spacing w:line="560" w:lineRule="exact"/>
        <w:ind w:firstLine="640"/>
      </w:pPr>
    </w:p>
    <w:sectPr w:rsidR="00C81E30" w:rsidSect="00AC6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78" w:rsidRDefault="00710578" w:rsidP="00710578">
      <w:r>
        <w:separator/>
      </w:r>
    </w:p>
  </w:endnote>
  <w:endnote w:type="continuationSeparator" w:id="0">
    <w:p w:rsidR="00710578" w:rsidRDefault="00710578" w:rsidP="0071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578" w:rsidRDefault="007105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94653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216E3" w:rsidRDefault="009216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16E3">
          <w:rPr>
            <w:noProof/>
            <w:lang w:val="zh-CN"/>
          </w:rPr>
          <w:t>1</w:t>
        </w:r>
        <w:r>
          <w:fldChar w:fldCharType="end"/>
        </w:r>
      </w:p>
    </w:sdtContent>
  </w:sdt>
  <w:p w:rsidR="00710578" w:rsidRDefault="007105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578" w:rsidRDefault="007105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78" w:rsidRDefault="00710578" w:rsidP="00710578">
      <w:r>
        <w:separator/>
      </w:r>
    </w:p>
  </w:footnote>
  <w:footnote w:type="continuationSeparator" w:id="0">
    <w:p w:rsidR="00710578" w:rsidRDefault="00710578" w:rsidP="0071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578" w:rsidRDefault="007105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578" w:rsidRPr="00710578" w:rsidRDefault="00710578" w:rsidP="007105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578" w:rsidRDefault="007105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CD"/>
    <w:rsid w:val="0011101C"/>
    <w:rsid w:val="002854CD"/>
    <w:rsid w:val="00710578"/>
    <w:rsid w:val="00711C53"/>
    <w:rsid w:val="009216E3"/>
    <w:rsid w:val="00AC6495"/>
    <w:rsid w:val="00C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7340236-F694-40DC-A163-7837BE95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简体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CD"/>
    <w:pPr>
      <w:widowControl w:val="0"/>
      <w:spacing w:line="240" w:lineRule="auto"/>
      <w:ind w:firstLineChars="0" w:firstLine="0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578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578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普丽芬</dc:creator>
  <cp:keywords/>
  <dc:description/>
  <cp:lastModifiedBy>普丽芬</cp:lastModifiedBy>
  <cp:revision>5</cp:revision>
  <dcterms:created xsi:type="dcterms:W3CDTF">2020-02-21T03:46:00Z</dcterms:created>
  <dcterms:modified xsi:type="dcterms:W3CDTF">2020-02-24T06:42:00Z</dcterms:modified>
</cp:coreProperties>
</file>