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C91" w:rsidRDefault="00C66C91" w:rsidP="0025268B">
      <w:pPr>
        <w:spacing w:line="560" w:lineRule="exact"/>
        <w:jc w:val="center"/>
        <w:outlineLvl w:val="0"/>
        <w:rPr>
          <w:rFonts w:ascii="方正大标宋简体" w:eastAsia="方正大标宋简体"/>
          <w:sz w:val="44"/>
          <w:szCs w:val="44"/>
        </w:rPr>
      </w:pPr>
      <w:r w:rsidRPr="00F16126">
        <w:rPr>
          <w:rFonts w:ascii="方正大标宋简体" w:eastAsia="方正大标宋简体" w:hint="eastAsia"/>
          <w:sz w:val="44"/>
          <w:szCs w:val="44"/>
        </w:rPr>
        <w:t>中国金融期货交易所指定存管银行管理办法</w:t>
      </w:r>
    </w:p>
    <w:p w:rsidR="00C66C91" w:rsidRPr="005E3166" w:rsidRDefault="00C66C91" w:rsidP="0025268B">
      <w:pPr>
        <w:spacing w:line="560" w:lineRule="exact"/>
        <w:ind w:firstLine="640"/>
        <w:jc w:val="center"/>
        <w:rPr>
          <w:rFonts w:eastAsia="方正仿宋简体"/>
          <w:sz w:val="32"/>
          <w:szCs w:val="32"/>
        </w:rPr>
      </w:pPr>
    </w:p>
    <w:p w:rsidR="00C66C91" w:rsidRPr="00F16126" w:rsidRDefault="00C66C91" w:rsidP="0025268B">
      <w:pPr>
        <w:spacing w:line="560" w:lineRule="exact"/>
        <w:jc w:val="center"/>
        <w:rPr>
          <w:rFonts w:eastAsia="方正仿宋简体"/>
          <w:sz w:val="32"/>
          <w:szCs w:val="32"/>
        </w:rPr>
      </w:pPr>
      <w:r w:rsidRPr="00F16126">
        <w:rPr>
          <w:rFonts w:eastAsia="方正仿宋简体"/>
          <w:sz w:val="32"/>
          <w:szCs w:val="32"/>
        </w:rPr>
        <w:t>（</w:t>
      </w:r>
      <w:r w:rsidRPr="00F16126">
        <w:rPr>
          <w:rFonts w:eastAsia="方正仿宋简体"/>
          <w:sz w:val="32"/>
          <w:szCs w:val="32"/>
        </w:rPr>
        <w:t>2013</w:t>
      </w:r>
      <w:r w:rsidRPr="00F16126">
        <w:rPr>
          <w:rFonts w:eastAsia="方正仿宋简体"/>
          <w:sz w:val="32"/>
          <w:szCs w:val="32"/>
        </w:rPr>
        <w:t>年</w:t>
      </w:r>
      <w:r w:rsidRPr="00F16126">
        <w:rPr>
          <w:rFonts w:eastAsia="方正仿宋简体"/>
          <w:sz w:val="32"/>
          <w:szCs w:val="32"/>
        </w:rPr>
        <w:t>8</w:t>
      </w:r>
      <w:r w:rsidRPr="00F16126">
        <w:rPr>
          <w:rFonts w:eastAsia="方正仿宋简体"/>
          <w:sz w:val="32"/>
          <w:szCs w:val="32"/>
        </w:rPr>
        <w:t>月</w:t>
      </w:r>
      <w:r w:rsidRPr="00F16126">
        <w:rPr>
          <w:rFonts w:eastAsia="方正仿宋简体"/>
          <w:sz w:val="32"/>
          <w:szCs w:val="32"/>
        </w:rPr>
        <w:t>14</w:t>
      </w:r>
      <w:r w:rsidRPr="00F16126">
        <w:rPr>
          <w:rFonts w:eastAsia="方正仿宋简体"/>
          <w:sz w:val="32"/>
          <w:szCs w:val="32"/>
        </w:rPr>
        <w:t>日实施</w:t>
      </w:r>
      <w:r w:rsidRPr="00F16126">
        <w:rPr>
          <w:rFonts w:eastAsia="方正仿宋简体"/>
          <w:sz w:val="32"/>
          <w:szCs w:val="32"/>
        </w:rPr>
        <w:t xml:space="preserve"> 2015</w:t>
      </w:r>
      <w:r w:rsidRPr="00F16126">
        <w:rPr>
          <w:rFonts w:eastAsia="方正仿宋简体"/>
          <w:sz w:val="32"/>
          <w:szCs w:val="32"/>
        </w:rPr>
        <w:t>年</w:t>
      </w:r>
      <w:r w:rsidRPr="00F16126">
        <w:rPr>
          <w:rFonts w:eastAsia="方正仿宋简体"/>
          <w:sz w:val="32"/>
          <w:szCs w:val="32"/>
        </w:rPr>
        <w:t>4</w:t>
      </w:r>
      <w:r w:rsidRPr="00F16126">
        <w:rPr>
          <w:rFonts w:eastAsia="方正仿宋简体"/>
          <w:sz w:val="32"/>
          <w:szCs w:val="32"/>
        </w:rPr>
        <w:t>月</w:t>
      </w:r>
      <w:r w:rsidRPr="00F16126">
        <w:rPr>
          <w:rFonts w:eastAsia="方正仿宋简体"/>
          <w:sz w:val="32"/>
          <w:szCs w:val="32"/>
        </w:rPr>
        <w:t>3</w:t>
      </w:r>
      <w:r w:rsidRPr="00F16126">
        <w:rPr>
          <w:rFonts w:eastAsia="方正仿宋简体"/>
          <w:sz w:val="32"/>
          <w:szCs w:val="32"/>
        </w:rPr>
        <w:t>日第一次修订</w:t>
      </w:r>
    </w:p>
    <w:p w:rsidR="00C66C91" w:rsidRPr="00F16126" w:rsidRDefault="00C66C91" w:rsidP="0025268B">
      <w:pPr>
        <w:spacing w:line="560" w:lineRule="exact"/>
        <w:jc w:val="center"/>
        <w:rPr>
          <w:rFonts w:eastAsia="方正仿宋简体"/>
          <w:sz w:val="32"/>
          <w:szCs w:val="32"/>
        </w:rPr>
      </w:pPr>
      <w:r w:rsidRPr="00A366A6">
        <w:rPr>
          <w:rFonts w:eastAsia="方正仿宋简体" w:hint="eastAsia"/>
          <w:sz w:val="32"/>
          <w:szCs w:val="32"/>
        </w:rPr>
        <w:t>2020</w:t>
      </w:r>
      <w:r w:rsidRPr="00A366A6">
        <w:rPr>
          <w:rFonts w:eastAsia="方正仿宋简体" w:hint="eastAsia"/>
          <w:sz w:val="32"/>
          <w:szCs w:val="32"/>
        </w:rPr>
        <w:t>年</w:t>
      </w:r>
      <w:r w:rsidR="00487917" w:rsidRPr="00A366A6">
        <w:rPr>
          <w:rFonts w:eastAsia="方正仿宋简体"/>
          <w:sz w:val="32"/>
          <w:szCs w:val="32"/>
        </w:rPr>
        <w:t>3</w:t>
      </w:r>
      <w:r w:rsidRPr="00A366A6">
        <w:rPr>
          <w:rFonts w:eastAsia="方正仿宋简体" w:hint="eastAsia"/>
          <w:sz w:val="32"/>
          <w:szCs w:val="32"/>
        </w:rPr>
        <w:t>月</w:t>
      </w:r>
      <w:r w:rsidR="00487917" w:rsidRPr="00A366A6">
        <w:rPr>
          <w:rFonts w:eastAsia="方正仿宋简体"/>
          <w:sz w:val="32"/>
          <w:szCs w:val="32"/>
        </w:rPr>
        <w:t>1</w:t>
      </w:r>
      <w:r w:rsidRPr="00A366A6">
        <w:rPr>
          <w:rFonts w:eastAsia="方正仿宋简体" w:hint="eastAsia"/>
          <w:sz w:val="32"/>
          <w:szCs w:val="32"/>
        </w:rPr>
        <w:t>日</w:t>
      </w:r>
      <w:r w:rsidRPr="00A366A6">
        <w:rPr>
          <w:rFonts w:eastAsia="方正仿宋简体"/>
          <w:sz w:val="32"/>
          <w:szCs w:val="32"/>
        </w:rPr>
        <w:t>第二次修订）</w:t>
      </w:r>
    </w:p>
    <w:p w:rsidR="00C66C91" w:rsidRPr="00F16126" w:rsidRDefault="00C66C91" w:rsidP="0025268B">
      <w:pPr>
        <w:spacing w:line="560" w:lineRule="exact"/>
        <w:ind w:firstLine="640"/>
        <w:jc w:val="center"/>
        <w:rPr>
          <w:rFonts w:eastAsia="方正仿宋简体"/>
          <w:sz w:val="32"/>
          <w:szCs w:val="32"/>
        </w:rPr>
      </w:pPr>
    </w:p>
    <w:p w:rsidR="00C66C91" w:rsidRPr="00F16126" w:rsidRDefault="00C66C91" w:rsidP="0025268B">
      <w:pPr>
        <w:spacing w:line="560" w:lineRule="exact"/>
        <w:jc w:val="center"/>
        <w:rPr>
          <w:rFonts w:eastAsia="方正仿宋简体"/>
          <w:b/>
          <w:sz w:val="32"/>
          <w:szCs w:val="32"/>
        </w:rPr>
      </w:pPr>
      <w:r w:rsidRPr="00F16126">
        <w:rPr>
          <w:rFonts w:eastAsia="方正仿宋简体"/>
          <w:b/>
          <w:sz w:val="32"/>
          <w:szCs w:val="32"/>
        </w:rPr>
        <w:t>第一章</w:t>
      </w:r>
      <w:r w:rsidRPr="00F16126">
        <w:rPr>
          <w:rFonts w:eastAsia="方正仿宋简体" w:hint="eastAsia"/>
          <w:b/>
          <w:sz w:val="32"/>
          <w:szCs w:val="32"/>
        </w:rPr>
        <w:t xml:space="preserve"> </w:t>
      </w:r>
      <w:r w:rsidRPr="00F16126">
        <w:rPr>
          <w:rFonts w:eastAsia="方正仿宋简体"/>
          <w:b/>
          <w:sz w:val="32"/>
          <w:szCs w:val="32"/>
        </w:rPr>
        <w:t>总则</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第一条</w:t>
      </w:r>
      <w:r w:rsidRPr="00F16126">
        <w:rPr>
          <w:rFonts w:eastAsia="方正仿宋简体" w:hint="eastAsia"/>
          <w:sz w:val="32"/>
          <w:szCs w:val="32"/>
        </w:rPr>
        <w:t xml:space="preserve">  </w:t>
      </w:r>
      <w:r w:rsidRPr="00F16126">
        <w:rPr>
          <w:rFonts w:eastAsia="方正仿宋简体"/>
          <w:sz w:val="32"/>
          <w:szCs w:val="32"/>
        </w:rPr>
        <w:t>为规范中国金融期货交易所（以下简称交易所）期货保证金存管业务，确保期货保证金存管安全和期货交易的平稳运行，根据《中国金融期货交易所交易规则》、《中国金融期货交易所结算细则》等规定，制定本办法。</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第二条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本办法所称期货保证金存管业务是指银行业金融机构吸收期货保证金进行存管并从事与此相关业务的行为。银行业金融机构从事期货保证金存管业务应当经交易所审核指定。</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第三条</w:t>
      </w:r>
      <w:r w:rsidRPr="00F16126">
        <w:rPr>
          <w:rFonts w:eastAsia="方正仿宋简体" w:hint="eastAsia"/>
          <w:sz w:val="32"/>
          <w:szCs w:val="32"/>
        </w:rPr>
        <w:t xml:space="preserve">  </w:t>
      </w:r>
      <w:r w:rsidRPr="00F16126">
        <w:rPr>
          <w:rFonts w:eastAsia="方正仿宋简体"/>
          <w:sz w:val="32"/>
          <w:szCs w:val="32"/>
        </w:rPr>
        <w:t>银行业金融机构从事期货保证金存管业务应当遵守法律、行政法规、规章和交易所业务规则，接受交易所自律监管。</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jc w:val="center"/>
        <w:rPr>
          <w:rFonts w:eastAsia="方正仿宋简体"/>
          <w:b/>
          <w:sz w:val="32"/>
          <w:szCs w:val="32"/>
        </w:rPr>
      </w:pPr>
      <w:r w:rsidRPr="00F16126">
        <w:rPr>
          <w:rFonts w:eastAsia="方正仿宋简体"/>
          <w:b/>
          <w:sz w:val="32"/>
          <w:szCs w:val="32"/>
        </w:rPr>
        <w:t>第二章</w:t>
      </w:r>
      <w:r w:rsidRPr="00F16126">
        <w:rPr>
          <w:rFonts w:eastAsia="方正仿宋简体" w:hint="eastAsia"/>
          <w:b/>
          <w:sz w:val="32"/>
          <w:szCs w:val="32"/>
        </w:rPr>
        <w:t xml:space="preserve"> </w:t>
      </w:r>
      <w:r w:rsidRPr="00F16126">
        <w:rPr>
          <w:rFonts w:eastAsia="方正仿宋简体"/>
          <w:b/>
          <w:sz w:val="32"/>
          <w:szCs w:val="32"/>
        </w:rPr>
        <w:t>资格申请</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第四条</w:t>
      </w:r>
      <w:r w:rsidRPr="00F16126">
        <w:rPr>
          <w:rFonts w:eastAsia="方正仿宋简体" w:hint="eastAsia"/>
          <w:sz w:val="32"/>
          <w:szCs w:val="32"/>
        </w:rPr>
        <w:t xml:space="preserve">  </w:t>
      </w:r>
      <w:r w:rsidRPr="00F16126">
        <w:rPr>
          <w:rFonts w:eastAsia="方正仿宋简体"/>
          <w:sz w:val="32"/>
          <w:szCs w:val="32"/>
        </w:rPr>
        <w:t>银行业金融机构申请期货保证金存管业务资格，应当具备下列条件：</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lastRenderedPageBreak/>
        <w:t>（一）中华人民共和国境内设立的全国性银行业金融机构法人；</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（二）注册资本达到</w:t>
      </w:r>
      <w:r w:rsidRPr="00F16126">
        <w:rPr>
          <w:rFonts w:eastAsia="方正仿宋简体"/>
          <w:sz w:val="32"/>
          <w:szCs w:val="32"/>
        </w:rPr>
        <w:t xml:space="preserve"> 100</w:t>
      </w:r>
      <w:r w:rsidRPr="00F16126">
        <w:rPr>
          <w:rFonts w:eastAsia="方正仿宋简体"/>
          <w:sz w:val="32"/>
          <w:szCs w:val="32"/>
        </w:rPr>
        <w:t>亿元人民币；总资产在</w:t>
      </w:r>
      <w:r w:rsidRPr="00F16126">
        <w:rPr>
          <w:rFonts w:eastAsia="方正仿宋简体"/>
          <w:sz w:val="32"/>
          <w:szCs w:val="32"/>
        </w:rPr>
        <w:t>15000</w:t>
      </w:r>
      <w:r w:rsidRPr="00F16126">
        <w:rPr>
          <w:rFonts w:eastAsia="方正仿宋简体"/>
          <w:sz w:val="32"/>
          <w:szCs w:val="32"/>
        </w:rPr>
        <w:t>亿元人民币以上，净资产在</w:t>
      </w:r>
      <w:r w:rsidRPr="00F16126">
        <w:rPr>
          <w:rFonts w:eastAsia="方正仿宋简体"/>
          <w:sz w:val="32"/>
          <w:szCs w:val="32"/>
        </w:rPr>
        <w:t>1000</w:t>
      </w:r>
      <w:r w:rsidRPr="00F16126">
        <w:rPr>
          <w:rFonts w:eastAsia="方正仿宋简体"/>
          <w:sz w:val="32"/>
          <w:szCs w:val="32"/>
        </w:rPr>
        <w:t>亿元人民币以上，最近</w:t>
      </w:r>
      <w:r w:rsidRPr="00F16126">
        <w:rPr>
          <w:rFonts w:eastAsia="方正仿宋简体"/>
          <w:sz w:val="32"/>
          <w:szCs w:val="32"/>
        </w:rPr>
        <w:t>3</w:t>
      </w:r>
      <w:r w:rsidRPr="00F16126">
        <w:rPr>
          <w:rFonts w:eastAsia="方正仿宋简体"/>
          <w:sz w:val="32"/>
          <w:szCs w:val="32"/>
        </w:rPr>
        <w:t>个会计年度连续盈利；</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（三）符合中国银行业监督管理机构对银行业金融机构资本充足率、流动性、资产负债比例等的规定；</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（四）分支机构在</w:t>
      </w:r>
      <w:r w:rsidRPr="00F16126">
        <w:rPr>
          <w:rFonts w:eastAsia="方正仿宋简体"/>
          <w:sz w:val="32"/>
          <w:szCs w:val="32"/>
        </w:rPr>
        <w:t>600</w:t>
      </w:r>
      <w:r w:rsidRPr="00F16126">
        <w:rPr>
          <w:rFonts w:eastAsia="方正仿宋简体"/>
          <w:sz w:val="32"/>
          <w:szCs w:val="32"/>
        </w:rPr>
        <w:t>个以上，且在期货交易所所在地设有可以办理期货保证金存管业务及资金结算相关业务的分支机构；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（五）具有良好的公司治理、风险管理体系和内部控制制度；</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（六）设有专门机构或部门负责期货保证金存管业务；</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（七）具有健全的期货保证金存管制度，制定与期货保证金存管业务相关的内部管理制度、操作流程以及技术和通讯系统故障等异常情况下的应急处理预案；</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（八）具有开展期货保证金存管业务和配合期货保证金安全存管监控所需的设施和技术水平，最近</w:t>
      </w:r>
      <w:r w:rsidRPr="00F16126">
        <w:rPr>
          <w:rFonts w:eastAsia="方正仿宋简体"/>
          <w:sz w:val="32"/>
          <w:szCs w:val="32"/>
        </w:rPr>
        <w:t>3</w:t>
      </w:r>
      <w:r w:rsidRPr="00F16126">
        <w:rPr>
          <w:rFonts w:eastAsia="方正仿宋简体"/>
          <w:sz w:val="32"/>
          <w:szCs w:val="32"/>
        </w:rPr>
        <w:t>年高效稳定的异地资金划拨系统，覆盖全国范围的行内实时汇划系统，以及服务良好的全国</w:t>
      </w:r>
      <w:proofErr w:type="gramStart"/>
      <w:r w:rsidRPr="00F16126">
        <w:rPr>
          <w:rFonts w:eastAsia="方正仿宋简体"/>
          <w:sz w:val="32"/>
          <w:szCs w:val="32"/>
        </w:rPr>
        <w:t>集中式银期转账</w:t>
      </w:r>
      <w:proofErr w:type="gramEnd"/>
      <w:r w:rsidRPr="00F16126">
        <w:rPr>
          <w:rFonts w:eastAsia="方正仿宋简体"/>
          <w:sz w:val="32"/>
          <w:szCs w:val="32"/>
        </w:rPr>
        <w:t>系统</w:t>
      </w:r>
      <w:r w:rsidRPr="00F16126">
        <w:rPr>
          <w:rFonts w:eastAsia="方正仿宋简体" w:hint="eastAsia"/>
          <w:sz w:val="32"/>
          <w:szCs w:val="32"/>
        </w:rPr>
        <w:t>；</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（九）交易所指定的期货保证金存管网点人员中，取得期货从业资格</w:t>
      </w:r>
      <w:r w:rsidRPr="00F16126">
        <w:rPr>
          <w:rFonts w:eastAsia="方正仿宋简体" w:hint="eastAsia"/>
          <w:sz w:val="32"/>
          <w:szCs w:val="32"/>
        </w:rPr>
        <w:t>考试合格证明的人员不得少于</w:t>
      </w:r>
      <w:r w:rsidRPr="00F16126">
        <w:rPr>
          <w:rFonts w:eastAsia="方正仿宋简体" w:hint="eastAsia"/>
          <w:sz w:val="32"/>
          <w:szCs w:val="32"/>
        </w:rPr>
        <w:t>3</w:t>
      </w:r>
      <w:r w:rsidRPr="00F16126">
        <w:rPr>
          <w:rFonts w:eastAsia="方正仿宋简体" w:hint="eastAsia"/>
          <w:sz w:val="32"/>
          <w:szCs w:val="32"/>
        </w:rPr>
        <w:t>名</w:t>
      </w:r>
      <w:r w:rsidRPr="00F16126">
        <w:rPr>
          <w:rFonts w:eastAsia="方正仿宋简体"/>
          <w:sz w:val="32"/>
          <w:szCs w:val="32"/>
        </w:rPr>
        <w:t>，且交易所结算专柜人员</w:t>
      </w:r>
      <w:r w:rsidRPr="00F16126">
        <w:rPr>
          <w:rFonts w:eastAsia="方正仿宋简体" w:hint="eastAsia"/>
          <w:sz w:val="32"/>
          <w:szCs w:val="32"/>
        </w:rPr>
        <w:t>必须</w:t>
      </w:r>
      <w:r w:rsidRPr="00F16126">
        <w:rPr>
          <w:rFonts w:eastAsia="方正仿宋简体"/>
          <w:sz w:val="32"/>
          <w:szCs w:val="32"/>
        </w:rPr>
        <w:t>取得期货从业资格</w:t>
      </w:r>
      <w:r w:rsidRPr="00F16126">
        <w:rPr>
          <w:rFonts w:eastAsia="方正仿宋简体" w:hint="eastAsia"/>
          <w:sz w:val="32"/>
          <w:szCs w:val="32"/>
        </w:rPr>
        <w:t>考试合格证明</w:t>
      </w:r>
      <w:r w:rsidRPr="00F16126">
        <w:rPr>
          <w:rFonts w:eastAsia="方正仿宋简体"/>
          <w:sz w:val="32"/>
          <w:szCs w:val="32"/>
        </w:rPr>
        <w:t>，其中管理人员还应当具有</w:t>
      </w:r>
      <w:r w:rsidRPr="00F16126">
        <w:rPr>
          <w:rFonts w:eastAsia="方正仿宋简体"/>
          <w:sz w:val="32"/>
          <w:szCs w:val="32"/>
        </w:rPr>
        <w:t>5</w:t>
      </w:r>
      <w:r w:rsidRPr="00F16126">
        <w:rPr>
          <w:rFonts w:eastAsia="方正仿宋简体"/>
          <w:sz w:val="32"/>
          <w:szCs w:val="32"/>
        </w:rPr>
        <w:t>年以上银行业金融机构从业经验</w:t>
      </w:r>
      <w:r w:rsidRPr="00F16126">
        <w:rPr>
          <w:rFonts w:eastAsia="方正仿宋简体" w:hint="eastAsia"/>
          <w:sz w:val="32"/>
          <w:szCs w:val="32"/>
        </w:rPr>
        <w:t>；</w:t>
      </w:r>
      <w:r w:rsidRPr="00F16126">
        <w:rPr>
          <w:rFonts w:eastAsia="方正仿宋简体"/>
          <w:sz w:val="32"/>
          <w:szCs w:val="32"/>
        </w:rPr>
        <w:t xml:space="preserve"> </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（十）最近</w:t>
      </w:r>
      <w:r w:rsidRPr="00F16126">
        <w:rPr>
          <w:rFonts w:eastAsia="方正仿宋简体"/>
          <w:sz w:val="32"/>
          <w:szCs w:val="32"/>
        </w:rPr>
        <w:t>3</w:t>
      </w:r>
      <w:r w:rsidRPr="00F16126">
        <w:rPr>
          <w:rFonts w:eastAsia="方正仿宋简体"/>
          <w:sz w:val="32"/>
          <w:szCs w:val="32"/>
        </w:rPr>
        <w:t>年内无重大违法违规行为，未发生过重大事故及未受到过监管机构的重大行政处罚；</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（十一）无严重影响其资信状况的未决诉讼或未清偿债务</w:t>
      </w:r>
      <w:r w:rsidRPr="00F16126">
        <w:rPr>
          <w:rFonts w:eastAsia="方正仿宋简体"/>
          <w:sz w:val="32"/>
          <w:szCs w:val="32"/>
        </w:rPr>
        <w:t xml:space="preserve">; </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（十二）交易所规定的其他条件</w:t>
      </w:r>
      <w:r w:rsidR="00EF47A4">
        <w:rPr>
          <w:rFonts w:eastAsia="方正仿宋简体" w:hint="eastAsia"/>
          <w:sz w:val="32"/>
          <w:szCs w:val="32"/>
        </w:rPr>
        <w:t>。</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合格境外机构投资者和人民币合格境外机构投资者的托管银行，申请仅为其所托管的合格境外机构投资者和人民币合格境外机构投资者开展期货保证金存管业务的，应当具备前款第（三）项、第（五）项至第（十二）项规定的条件，并取得中国证券登记结算有限责任公司结算银行资格。</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第五条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银行业金融机构申请期货保证金存管业务资格，应当向交易所提交下列预审材料并加盖公章；</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（一）期货保证金存管业务资格申请表、申请报告、可行性报告及业务计划书</w:t>
      </w:r>
      <w:r>
        <w:rPr>
          <w:rFonts w:eastAsia="方正仿宋简体" w:hint="eastAsia"/>
          <w:sz w:val="32"/>
          <w:szCs w:val="32"/>
        </w:rPr>
        <w:t>；</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（二）分支机构、营业网点以及开展期货保证金存管业务所需设施的情况说明</w:t>
      </w:r>
      <w:r>
        <w:rPr>
          <w:rFonts w:eastAsia="方正仿宋简体" w:hint="eastAsia"/>
          <w:sz w:val="32"/>
          <w:szCs w:val="32"/>
        </w:rPr>
        <w:t>；</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（三）期货保证金存管制度、内部管理制度以及相关的应急处理预案；</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（四）期货保证金存管业务部门的岗位设置和职责规定，以及部门负责人和业务人员名单、履历</w:t>
      </w:r>
      <w:r>
        <w:rPr>
          <w:rFonts w:eastAsia="方正仿宋简体" w:hint="eastAsia"/>
          <w:sz w:val="32"/>
          <w:szCs w:val="32"/>
        </w:rPr>
        <w:t>；</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（五）遵守期货保证金安全存管监控有关规定的承诺书</w:t>
      </w:r>
      <w:r w:rsidRPr="00F16126">
        <w:rPr>
          <w:rFonts w:eastAsia="方正仿宋简体"/>
          <w:sz w:val="32"/>
          <w:szCs w:val="32"/>
        </w:rPr>
        <w:t xml:space="preserve">; </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（六）最新年检的《企业法人营业执照》复印件；</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（七）《金融业务许可证》复印件；</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（八）最近三年的审计报告以及内部控制评价报告；</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（九）企业法人的授权书及经办人员的身份证明文件；</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（十）交易所要求提供的其他文件。</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第六条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银行业金融机构申请并通过交易所对其期货保证金存管银行资格预审后，应当按照交易所及中国期货</w:t>
      </w:r>
      <w:r w:rsidRPr="00F16126">
        <w:rPr>
          <w:rFonts w:eastAsia="方正仿宋简体" w:hint="eastAsia"/>
          <w:sz w:val="32"/>
          <w:szCs w:val="32"/>
        </w:rPr>
        <w:t>市场</w:t>
      </w:r>
      <w:r w:rsidRPr="00F16126">
        <w:rPr>
          <w:rFonts w:eastAsia="方正仿宋简体"/>
          <w:sz w:val="32"/>
          <w:szCs w:val="32"/>
        </w:rPr>
        <w:t>监控中心</w:t>
      </w:r>
      <w:r w:rsidRPr="00F16126">
        <w:rPr>
          <w:rFonts w:eastAsia="方正仿宋简体" w:hint="eastAsia"/>
          <w:sz w:val="32"/>
          <w:szCs w:val="32"/>
        </w:rPr>
        <w:t>有限责任公司</w:t>
      </w:r>
      <w:r w:rsidRPr="00F16126">
        <w:rPr>
          <w:rFonts w:eastAsia="方正仿宋简体"/>
          <w:sz w:val="32"/>
          <w:szCs w:val="32"/>
        </w:rPr>
        <w:t>（以下简称监控中心）的要求通过相关业务、技术、通讯设备等方面的测试，并向交易所提供下列材料：</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（一）监控中心出具的关于通过期货保证金安全存管监控数据报送测试的书面证明材料；</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（二）与期货公司（或其他期货市场参与者）进行全国</w:t>
      </w:r>
      <w:proofErr w:type="gramStart"/>
      <w:r w:rsidRPr="00F16126">
        <w:rPr>
          <w:rFonts w:eastAsia="方正仿宋简体"/>
          <w:sz w:val="32"/>
          <w:szCs w:val="32"/>
        </w:rPr>
        <w:t>集中式银期转账</w:t>
      </w:r>
      <w:proofErr w:type="gramEnd"/>
      <w:r w:rsidRPr="00F16126">
        <w:rPr>
          <w:rFonts w:eastAsia="方正仿宋简体"/>
          <w:sz w:val="32"/>
          <w:szCs w:val="32"/>
        </w:rPr>
        <w:t>系统测试报告；</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（三）交易所指定期货保证金存管业务分支机构（以下简称指定网点）营业执照复印件；</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（四）交易所要求提供的其他文件。</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第七条</w:t>
      </w:r>
      <w:r w:rsidRPr="00F16126">
        <w:rPr>
          <w:rFonts w:eastAsia="方正仿宋简体" w:hint="eastAsia"/>
          <w:sz w:val="32"/>
          <w:szCs w:val="32"/>
        </w:rPr>
        <w:t xml:space="preserve">  </w:t>
      </w:r>
      <w:r w:rsidRPr="00F16126">
        <w:rPr>
          <w:rFonts w:eastAsia="方正仿宋简体"/>
          <w:sz w:val="32"/>
          <w:szCs w:val="32"/>
        </w:rPr>
        <w:t>银行业金融机构应当在交易所审核决定做出后</w:t>
      </w:r>
      <w:r w:rsidRPr="00F16126">
        <w:rPr>
          <w:rFonts w:eastAsia="方正仿宋简体"/>
          <w:sz w:val="32"/>
          <w:szCs w:val="32"/>
        </w:rPr>
        <w:t>3</w:t>
      </w:r>
      <w:r w:rsidRPr="00F16126">
        <w:rPr>
          <w:rFonts w:eastAsia="方正仿宋简体"/>
          <w:sz w:val="32"/>
          <w:szCs w:val="32"/>
        </w:rPr>
        <w:t>个工作日内向银行业监督管理机构报告。</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第八条</w:t>
      </w:r>
      <w:r w:rsidRPr="00F16126">
        <w:rPr>
          <w:rFonts w:eastAsia="方正仿宋简体" w:hint="eastAsia"/>
          <w:sz w:val="32"/>
          <w:szCs w:val="32"/>
        </w:rPr>
        <w:t xml:space="preserve">  </w:t>
      </w:r>
      <w:r w:rsidRPr="00F16126">
        <w:rPr>
          <w:rFonts w:eastAsia="方正仿宋简体"/>
          <w:sz w:val="32"/>
          <w:szCs w:val="32"/>
        </w:rPr>
        <w:t>银行业金融机构取得期货保证金存管银行资格后，应当与交易所签订《期货保证金存管银行协议》，明确双方各自的权利和义务。</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jc w:val="center"/>
        <w:rPr>
          <w:rFonts w:eastAsia="方正仿宋简体"/>
          <w:b/>
          <w:sz w:val="32"/>
          <w:szCs w:val="32"/>
        </w:rPr>
      </w:pPr>
      <w:r w:rsidRPr="00F16126">
        <w:rPr>
          <w:rFonts w:eastAsia="方正仿宋简体"/>
          <w:b/>
          <w:sz w:val="32"/>
          <w:szCs w:val="32"/>
        </w:rPr>
        <w:t>第三章</w:t>
      </w:r>
      <w:r w:rsidRPr="00F16126">
        <w:rPr>
          <w:rFonts w:eastAsia="方正仿宋简体" w:hint="eastAsia"/>
          <w:b/>
          <w:sz w:val="32"/>
          <w:szCs w:val="32"/>
        </w:rPr>
        <w:t xml:space="preserve"> </w:t>
      </w:r>
      <w:r w:rsidRPr="00F16126">
        <w:rPr>
          <w:rFonts w:eastAsia="方正仿宋简体"/>
          <w:b/>
          <w:sz w:val="32"/>
          <w:szCs w:val="32"/>
        </w:rPr>
        <w:t>业务要求</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第九条</w:t>
      </w:r>
      <w:r w:rsidRPr="00F16126">
        <w:rPr>
          <w:rFonts w:eastAsia="方正仿宋简体" w:hint="eastAsia"/>
          <w:sz w:val="32"/>
          <w:szCs w:val="32"/>
        </w:rPr>
        <w:t xml:space="preserve">  </w:t>
      </w:r>
      <w:r w:rsidRPr="00F16126">
        <w:rPr>
          <w:rFonts w:eastAsia="方正仿宋简体"/>
          <w:sz w:val="32"/>
          <w:szCs w:val="32"/>
        </w:rPr>
        <w:t>从事期货保证金存管业务的银行业金融机构（以下简称存管银行）应当为其期货保证金存管业务的客户及交易所提供安全、准确、迅捷的期货保证金存管及划转服务。</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第十条</w:t>
      </w:r>
      <w:r w:rsidRPr="00F16126">
        <w:rPr>
          <w:rFonts w:eastAsia="方正仿宋简体" w:hint="eastAsia"/>
          <w:sz w:val="32"/>
          <w:szCs w:val="32"/>
        </w:rPr>
        <w:t xml:space="preserve">  </w:t>
      </w:r>
      <w:r w:rsidRPr="00F16126">
        <w:rPr>
          <w:rFonts w:eastAsia="方正仿宋简体"/>
          <w:sz w:val="32"/>
          <w:szCs w:val="32"/>
        </w:rPr>
        <w:t>存管银行应在距离交易所指定范围内设置交易所指定网点，网点内应当设置交易所结算专柜，并提供专项服务。</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第十一条</w:t>
      </w:r>
      <w:r w:rsidRPr="00F16126">
        <w:rPr>
          <w:rFonts w:eastAsia="方正仿宋简体" w:hint="eastAsia"/>
          <w:sz w:val="32"/>
          <w:szCs w:val="32"/>
        </w:rPr>
        <w:t xml:space="preserve">  </w:t>
      </w:r>
      <w:r w:rsidRPr="00F16126">
        <w:rPr>
          <w:rFonts w:eastAsia="方正仿宋简体"/>
          <w:sz w:val="32"/>
          <w:szCs w:val="32"/>
        </w:rPr>
        <w:t>存管银行应当根据交易所提出的申请为交易所开立专用结算账户、结算担保金专用账户等账户，账户信息应当体现业务性质。</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第十二条</w:t>
      </w:r>
      <w:r w:rsidRPr="00F16126">
        <w:rPr>
          <w:rFonts w:eastAsia="方正仿宋简体" w:hint="eastAsia"/>
          <w:sz w:val="32"/>
          <w:szCs w:val="32"/>
        </w:rPr>
        <w:t xml:space="preserve">  </w:t>
      </w:r>
      <w:r w:rsidRPr="00F16126">
        <w:rPr>
          <w:rFonts w:eastAsia="方正仿宋简体"/>
          <w:sz w:val="32"/>
          <w:szCs w:val="32"/>
        </w:rPr>
        <w:t>存管银行应当根据交易所结算会员的申请和交易所签发的专用通知书为结算会员开立、变更或者注销专用资金账户、结算担保金专用账户等账户，账户信息应当体现业务性质。</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第十三条</w:t>
      </w:r>
      <w:r w:rsidRPr="00F16126">
        <w:rPr>
          <w:rFonts w:eastAsia="方正仿宋简体" w:hint="eastAsia"/>
          <w:b/>
          <w:sz w:val="32"/>
          <w:szCs w:val="32"/>
        </w:rPr>
        <w:t xml:space="preserve">  </w:t>
      </w:r>
      <w:r w:rsidRPr="00F16126">
        <w:rPr>
          <w:rFonts w:eastAsia="方正仿宋简体"/>
          <w:sz w:val="32"/>
          <w:szCs w:val="32"/>
        </w:rPr>
        <w:t>交易所与会员之间期货业务资金的往来通过第十一条与第十二条中开设的专用账户办理。</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第十四条</w:t>
      </w:r>
      <w:r w:rsidRPr="00F16126">
        <w:rPr>
          <w:rFonts w:eastAsia="方正仿宋简体" w:hint="eastAsia"/>
          <w:sz w:val="32"/>
          <w:szCs w:val="32"/>
        </w:rPr>
        <w:t xml:space="preserve">  </w:t>
      </w:r>
      <w:r w:rsidRPr="00F16126">
        <w:rPr>
          <w:rFonts w:eastAsia="方正仿宋简体"/>
          <w:sz w:val="32"/>
          <w:szCs w:val="32"/>
        </w:rPr>
        <w:t>存管银行应当根据交易所交易和结算时间的变化，相应调整业务办理时间，满足期货保证金存管业务的需要。</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第十五条</w:t>
      </w:r>
      <w:r w:rsidRPr="00F16126">
        <w:rPr>
          <w:rFonts w:eastAsia="方正仿宋简体" w:hint="eastAsia"/>
          <w:sz w:val="32"/>
          <w:szCs w:val="32"/>
        </w:rPr>
        <w:t xml:space="preserve">  </w:t>
      </w:r>
      <w:r w:rsidRPr="00F16126">
        <w:rPr>
          <w:rFonts w:eastAsia="方正仿宋简体"/>
          <w:sz w:val="32"/>
          <w:szCs w:val="32"/>
        </w:rPr>
        <w:t>存管银行应当按照与交易所协商确定的存款利率向交易所支付利息。</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第十六条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当交易所的资金结算出现流动性需求时，经交易所申请，存管银行应当给予相应的资金配合，协助化解交易所风险。</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第十七条</w:t>
      </w:r>
      <w:r w:rsidRPr="00F16126">
        <w:rPr>
          <w:rFonts w:eastAsia="方正仿宋简体" w:hint="eastAsia"/>
          <w:sz w:val="32"/>
          <w:szCs w:val="32"/>
        </w:rPr>
        <w:t xml:space="preserve">  </w:t>
      </w:r>
      <w:r w:rsidRPr="00F16126">
        <w:rPr>
          <w:rFonts w:eastAsia="方正仿宋简体"/>
          <w:sz w:val="32"/>
          <w:szCs w:val="32"/>
        </w:rPr>
        <w:t>存管银行应当拒绝任何其他单位或个人对交易所专用结算账户内的资金进行冻结、扣划，确保交易所存放的期货保证金资金的安全；如有其他机构拟对结算会员专用资金账户采取冻结等影响保证金存管业务的措施时，存管银行应当及时通知交易所。</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第十八条</w:t>
      </w:r>
      <w:r w:rsidRPr="00F16126">
        <w:rPr>
          <w:rFonts w:eastAsia="方正仿宋简体" w:hint="eastAsia"/>
          <w:sz w:val="32"/>
          <w:szCs w:val="32"/>
        </w:rPr>
        <w:t xml:space="preserve">  </w:t>
      </w:r>
      <w:r w:rsidRPr="00F16126">
        <w:rPr>
          <w:rFonts w:eastAsia="方正仿宋简体"/>
          <w:sz w:val="32"/>
          <w:szCs w:val="32"/>
        </w:rPr>
        <w:t>存管银行应当按照由交易所资金划转系统发送的电子划款指令或书面划款指令及时办理划款业务：</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（一）对于划入交易所专用结算账户的款项，应当在资金到账后立即记入交易所账户，并实时通过资金划转系统或书面传真将收款信息通知交易所；</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（二）对于本行系统内账户的资金划拨，应当在收到交易所划款指令后立即（最长不得超过</w:t>
      </w:r>
      <w:r w:rsidRPr="00F16126">
        <w:rPr>
          <w:rFonts w:eastAsia="方正仿宋简体"/>
          <w:sz w:val="32"/>
          <w:szCs w:val="32"/>
        </w:rPr>
        <w:t>1</w:t>
      </w:r>
      <w:r w:rsidRPr="00F16126">
        <w:rPr>
          <w:rFonts w:eastAsia="方正仿宋简体"/>
          <w:sz w:val="32"/>
          <w:szCs w:val="32"/>
        </w:rPr>
        <w:t>小时）将资金汇划至交易所指定的结算会员专用资金账户；</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（三）对于跨行的资金划拨，应当在收到交易所划款指令后立即以</w:t>
      </w:r>
      <w:proofErr w:type="gramStart"/>
      <w:r w:rsidRPr="00F16126">
        <w:rPr>
          <w:rFonts w:eastAsia="方正仿宋简体"/>
          <w:sz w:val="32"/>
          <w:szCs w:val="32"/>
        </w:rPr>
        <w:t>最</w:t>
      </w:r>
      <w:proofErr w:type="gramEnd"/>
      <w:r w:rsidRPr="00F16126">
        <w:rPr>
          <w:rFonts w:eastAsia="方正仿宋简体"/>
          <w:sz w:val="32"/>
          <w:szCs w:val="32"/>
        </w:rPr>
        <w:t>快捷的方式划出款项，并保证该款项即时到达交易所指定的收款账户开户银行。如遇特殊情况，应在当日下午四时前到达交易所指定的收款账户开户银行。</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第十九条</w:t>
      </w:r>
      <w:r w:rsidRPr="00F16126">
        <w:rPr>
          <w:rFonts w:eastAsia="方正仿宋简体" w:hint="eastAsia"/>
          <w:b/>
          <w:sz w:val="32"/>
          <w:szCs w:val="32"/>
        </w:rPr>
        <w:t xml:space="preserve">  </w:t>
      </w:r>
      <w:r w:rsidRPr="00F16126">
        <w:rPr>
          <w:rFonts w:eastAsia="方正仿宋简体"/>
          <w:sz w:val="32"/>
          <w:szCs w:val="32"/>
        </w:rPr>
        <w:t>存管银行应当按照以下规定每日与交易所进行专用结算账户账务核对：</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（一）每日结算业务结束后进行对账；</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（二）在营业时间内，交易所可以随时查询在存管银行</w:t>
      </w:r>
      <w:r>
        <w:rPr>
          <w:rFonts w:eastAsia="方正仿宋简体"/>
          <w:sz w:val="32"/>
          <w:szCs w:val="32"/>
        </w:rPr>
        <w:t>的专用结算账户的余额及变动情况，且存管银行应当实时回送查询结果</w:t>
      </w:r>
      <w:r>
        <w:rPr>
          <w:rFonts w:eastAsia="方正仿宋简体" w:hint="eastAsia"/>
          <w:sz w:val="32"/>
          <w:szCs w:val="32"/>
        </w:rPr>
        <w:t>；</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（三）向交易所送达当日交易所进账单、收付款明细清单等业务凭证；</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（四）按照交易所的要求及时提供资金结算账户对账单。</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第二十条</w:t>
      </w:r>
      <w:r w:rsidRPr="00F16126">
        <w:rPr>
          <w:rFonts w:eastAsia="方正仿宋简体" w:hint="eastAsia"/>
          <w:sz w:val="32"/>
          <w:szCs w:val="32"/>
        </w:rPr>
        <w:t xml:space="preserve">  </w:t>
      </w:r>
      <w:r w:rsidRPr="00F16126">
        <w:rPr>
          <w:rFonts w:eastAsia="方正仿宋简体"/>
          <w:sz w:val="32"/>
          <w:szCs w:val="32"/>
        </w:rPr>
        <w:t>存管银行应当按照期货保证金安全存管的有关规定，通过转账方式办理期货保证金存取业务，对期货保证金实行封闭运行。</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第二十一条</w:t>
      </w:r>
      <w:r w:rsidRPr="00F16126">
        <w:rPr>
          <w:rFonts w:eastAsia="方正仿宋简体" w:hint="eastAsia"/>
          <w:sz w:val="32"/>
          <w:szCs w:val="32"/>
        </w:rPr>
        <w:t xml:space="preserve">  </w:t>
      </w:r>
      <w:r w:rsidRPr="00F16126">
        <w:rPr>
          <w:rFonts w:eastAsia="方正仿宋简体"/>
          <w:sz w:val="32"/>
          <w:szCs w:val="32"/>
        </w:rPr>
        <w:t>存管银行应当按照期货保证金安全存管监控的有关规定通过网络专线在规定时间内向监控中心报送在该行开设的全部期货保证金账户前一交易日的账户余额、变动明细等相关信息。</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第二十二条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存管银行应当采取有效措施，减少资金的流动性风险，未经交易所书面同意，不得无故限制会员出入金。</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第二十三条</w:t>
      </w:r>
      <w:r w:rsidRPr="00F16126">
        <w:rPr>
          <w:rFonts w:eastAsia="方正仿宋简体" w:hint="eastAsia"/>
          <w:sz w:val="32"/>
          <w:szCs w:val="32"/>
        </w:rPr>
        <w:t xml:space="preserve">  </w:t>
      </w:r>
      <w:r w:rsidRPr="00F16126">
        <w:rPr>
          <w:rFonts w:eastAsia="方正仿宋简体"/>
          <w:sz w:val="32"/>
          <w:szCs w:val="32"/>
        </w:rPr>
        <w:t>存管银行应当保证交易所指定营业网点的业务和人员的稳定性，定期组织业务人员培训，积极参加交易所组织的业务培训，保证业务人员熟练掌握期货保证金存管业务的流程及交易所关于期货保证金存管和资金结算业务的规则、要求。</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第二十四条</w:t>
      </w:r>
      <w:r w:rsidRPr="00F16126">
        <w:rPr>
          <w:rFonts w:eastAsia="方正仿宋简体" w:hint="eastAsia"/>
          <w:sz w:val="32"/>
          <w:szCs w:val="32"/>
        </w:rPr>
        <w:t xml:space="preserve">  </w:t>
      </w:r>
      <w:r w:rsidRPr="00F16126">
        <w:rPr>
          <w:rFonts w:eastAsia="方正仿宋简体"/>
          <w:sz w:val="32"/>
          <w:szCs w:val="32"/>
        </w:rPr>
        <w:t>存管银行不得协助交易所会员在其期货保证金账户上设定担保。</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第二十五条</w:t>
      </w:r>
      <w:r w:rsidRPr="00F16126">
        <w:rPr>
          <w:rFonts w:eastAsia="方正仿宋简体" w:hint="eastAsia"/>
          <w:b/>
          <w:sz w:val="32"/>
          <w:szCs w:val="32"/>
        </w:rPr>
        <w:t xml:space="preserve">  </w:t>
      </w:r>
      <w:r w:rsidRPr="00F16126">
        <w:rPr>
          <w:rFonts w:eastAsia="方正仿宋简体"/>
          <w:sz w:val="32"/>
          <w:szCs w:val="32"/>
        </w:rPr>
        <w:t>存管银行承诺合</w:t>
      </w:r>
      <w:proofErr w:type="gramStart"/>
      <w:r w:rsidRPr="00F16126">
        <w:rPr>
          <w:rFonts w:eastAsia="方正仿宋简体"/>
          <w:sz w:val="32"/>
          <w:szCs w:val="32"/>
        </w:rPr>
        <w:t>规</w:t>
      </w:r>
      <w:proofErr w:type="gramEnd"/>
      <w:r w:rsidRPr="00F16126">
        <w:rPr>
          <w:rFonts w:eastAsia="方正仿宋简体"/>
          <w:sz w:val="32"/>
          <w:szCs w:val="32"/>
        </w:rPr>
        <w:t>运行、不挪用客户保证金，并接受交易所自律监管。</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jc w:val="center"/>
        <w:rPr>
          <w:rFonts w:eastAsia="方正仿宋简体"/>
          <w:b/>
          <w:sz w:val="32"/>
          <w:szCs w:val="32"/>
        </w:rPr>
      </w:pPr>
      <w:r w:rsidRPr="00F16126">
        <w:rPr>
          <w:rFonts w:eastAsia="方正仿宋简体"/>
          <w:b/>
          <w:sz w:val="32"/>
          <w:szCs w:val="32"/>
        </w:rPr>
        <w:t>第四章</w:t>
      </w:r>
      <w:r w:rsidRPr="00F16126">
        <w:rPr>
          <w:rFonts w:eastAsia="方正仿宋简体" w:hint="eastAsia"/>
          <w:b/>
          <w:sz w:val="32"/>
          <w:szCs w:val="32"/>
        </w:rPr>
        <w:t xml:space="preserve"> </w:t>
      </w:r>
      <w:r w:rsidRPr="00F16126">
        <w:rPr>
          <w:rFonts w:eastAsia="方正仿宋简体"/>
          <w:b/>
          <w:sz w:val="32"/>
          <w:szCs w:val="32"/>
        </w:rPr>
        <w:t>技术要求</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第二十六条</w:t>
      </w:r>
      <w:r w:rsidRPr="00F16126">
        <w:rPr>
          <w:rFonts w:eastAsia="方正仿宋简体" w:hint="eastAsia"/>
          <w:b/>
          <w:sz w:val="32"/>
          <w:szCs w:val="32"/>
        </w:rPr>
        <w:t xml:space="preserve">  </w:t>
      </w:r>
      <w:r w:rsidRPr="00F16126">
        <w:rPr>
          <w:rFonts w:eastAsia="方正仿宋简体"/>
          <w:sz w:val="32"/>
          <w:szCs w:val="32"/>
        </w:rPr>
        <w:t>存管银行的资金划转系统应当满足交易所相关技术规范要求，并通过交易所的功能测试和性能测试。</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第二十七条</w:t>
      </w:r>
      <w:r w:rsidRPr="00F16126">
        <w:rPr>
          <w:rFonts w:eastAsia="方正仿宋简体" w:hint="eastAsia"/>
          <w:sz w:val="32"/>
          <w:szCs w:val="32"/>
        </w:rPr>
        <w:t xml:space="preserve">  </w:t>
      </w:r>
      <w:r w:rsidRPr="00F16126">
        <w:rPr>
          <w:rFonts w:eastAsia="方正仿宋简体"/>
          <w:sz w:val="32"/>
          <w:szCs w:val="32"/>
        </w:rPr>
        <w:t>存管银行的全国</w:t>
      </w:r>
      <w:proofErr w:type="gramStart"/>
      <w:r w:rsidRPr="00F16126">
        <w:rPr>
          <w:rFonts w:eastAsia="方正仿宋简体"/>
          <w:sz w:val="32"/>
          <w:szCs w:val="32"/>
        </w:rPr>
        <w:t>集中式银期转账</w:t>
      </w:r>
      <w:proofErr w:type="gramEnd"/>
      <w:r w:rsidRPr="00F16126">
        <w:rPr>
          <w:rFonts w:eastAsia="方正仿宋简体"/>
          <w:sz w:val="32"/>
          <w:szCs w:val="32"/>
        </w:rPr>
        <w:t>系统应当能够支持交易所会员系统多点同时接入，并满足银期转账系统的冗余要求。</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第二十八条</w:t>
      </w:r>
      <w:r w:rsidRPr="00F16126">
        <w:rPr>
          <w:rFonts w:eastAsia="方正仿宋简体" w:hint="eastAsia"/>
          <w:sz w:val="32"/>
          <w:szCs w:val="32"/>
        </w:rPr>
        <w:t xml:space="preserve">  </w:t>
      </w:r>
      <w:r w:rsidRPr="00F16126">
        <w:rPr>
          <w:rFonts w:eastAsia="方正仿宋简体"/>
          <w:sz w:val="32"/>
          <w:szCs w:val="32"/>
        </w:rPr>
        <w:t>存管银行应当申请总行主备数据中心与交易所主</w:t>
      </w:r>
      <w:proofErr w:type="gramStart"/>
      <w:r w:rsidRPr="00F16126">
        <w:rPr>
          <w:rFonts w:eastAsia="方正仿宋简体"/>
          <w:sz w:val="32"/>
          <w:szCs w:val="32"/>
        </w:rPr>
        <w:t>备数据</w:t>
      </w:r>
      <w:proofErr w:type="gramEnd"/>
      <w:r w:rsidRPr="00F16126">
        <w:rPr>
          <w:rFonts w:eastAsia="方正仿宋简体"/>
          <w:sz w:val="32"/>
          <w:szCs w:val="32"/>
        </w:rPr>
        <w:t>中心之间可靠冗余的数据通讯链路，相关网络参数由交易所统一分配。</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第二十九条</w:t>
      </w:r>
      <w:r w:rsidRPr="00F16126">
        <w:rPr>
          <w:rFonts w:eastAsia="方正仿宋简体" w:hint="eastAsia"/>
          <w:b/>
          <w:sz w:val="32"/>
          <w:szCs w:val="32"/>
        </w:rPr>
        <w:t xml:space="preserve">  </w:t>
      </w:r>
      <w:r w:rsidRPr="00F16126">
        <w:rPr>
          <w:rFonts w:eastAsia="方正仿宋简体"/>
          <w:sz w:val="32"/>
          <w:szCs w:val="32"/>
        </w:rPr>
        <w:t>存管银行应当将资金划转系统纳入技术系统的统一运</w:t>
      </w:r>
      <w:proofErr w:type="gramStart"/>
      <w:r w:rsidRPr="00F16126">
        <w:rPr>
          <w:rFonts w:eastAsia="方正仿宋简体"/>
          <w:sz w:val="32"/>
          <w:szCs w:val="32"/>
        </w:rPr>
        <w:t>维管理</w:t>
      </w:r>
      <w:proofErr w:type="gramEnd"/>
      <w:r w:rsidRPr="00F16126">
        <w:rPr>
          <w:rFonts w:eastAsia="方正仿宋简体"/>
          <w:sz w:val="32"/>
          <w:szCs w:val="32"/>
        </w:rPr>
        <w:t>流程，对资金划转系统、数据链路和软硬件平台进行实时监控。</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第三十条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存管银行变更资金划转系统应用或网络系统的，应当提前</w:t>
      </w:r>
      <w:r w:rsidRPr="00F16126">
        <w:rPr>
          <w:rFonts w:eastAsia="方正仿宋简体"/>
          <w:sz w:val="32"/>
          <w:szCs w:val="32"/>
        </w:rPr>
        <w:t>5</w:t>
      </w:r>
      <w:r w:rsidRPr="00F16126">
        <w:rPr>
          <w:rFonts w:eastAsia="方正仿宋简体"/>
          <w:sz w:val="32"/>
          <w:szCs w:val="32"/>
        </w:rPr>
        <w:t>个工作日通知交易所技术中心，并提前做好系统测试工作。</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第三十一条</w:t>
      </w:r>
      <w:r w:rsidRPr="00F16126">
        <w:rPr>
          <w:rFonts w:eastAsia="方正仿宋简体" w:hint="eastAsia"/>
          <w:b/>
          <w:sz w:val="32"/>
          <w:szCs w:val="32"/>
        </w:rPr>
        <w:t xml:space="preserve">  </w:t>
      </w:r>
      <w:r w:rsidRPr="00F16126">
        <w:rPr>
          <w:rFonts w:eastAsia="方正仿宋简体"/>
          <w:sz w:val="32"/>
          <w:szCs w:val="32"/>
        </w:rPr>
        <w:t>存管银行应当积极配合参与交易所组织的应急演练和联合测试。</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第三十二条</w:t>
      </w:r>
      <w:r w:rsidRPr="00F16126">
        <w:rPr>
          <w:rFonts w:eastAsia="方正仿宋简体" w:hint="eastAsia"/>
          <w:sz w:val="32"/>
          <w:szCs w:val="32"/>
        </w:rPr>
        <w:t xml:space="preserve">  </w:t>
      </w:r>
      <w:r w:rsidRPr="00F16126">
        <w:rPr>
          <w:rFonts w:eastAsia="方正仿宋简体"/>
          <w:sz w:val="32"/>
          <w:szCs w:val="32"/>
        </w:rPr>
        <w:t>存管银行应当设立</w:t>
      </w:r>
      <w:r w:rsidRPr="00F16126">
        <w:rPr>
          <w:rFonts w:eastAsia="方正仿宋简体"/>
          <w:sz w:val="32"/>
          <w:szCs w:val="32"/>
        </w:rPr>
        <w:t>7*24</w:t>
      </w:r>
      <w:r w:rsidRPr="00F16126">
        <w:rPr>
          <w:rFonts w:eastAsia="方正仿宋简体"/>
          <w:sz w:val="32"/>
          <w:szCs w:val="32"/>
        </w:rPr>
        <w:t>小时的技术应急联系人，应急联系人发生变更时应当及时向交易所技术中心报备。</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jc w:val="center"/>
        <w:rPr>
          <w:rFonts w:eastAsia="方正仿宋简体"/>
          <w:b/>
          <w:sz w:val="32"/>
          <w:szCs w:val="32"/>
        </w:rPr>
      </w:pPr>
      <w:r w:rsidRPr="00F16126">
        <w:rPr>
          <w:rFonts w:eastAsia="方正仿宋简体"/>
          <w:b/>
          <w:sz w:val="32"/>
          <w:szCs w:val="32"/>
        </w:rPr>
        <w:t>第五章</w:t>
      </w:r>
      <w:r w:rsidRPr="00F16126">
        <w:rPr>
          <w:rFonts w:eastAsia="方正仿宋简体" w:hint="eastAsia"/>
          <w:b/>
          <w:sz w:val="32"/>
          <w:szCs w:val="32"/>
        </w:rPr>
        <w:t xml:space="preserve"> </w:t>
      </w:r>
      <w:r w:rsidRPr="00F16126">
        <w:rPr>
          <w:rFonts w:eastAsia="方正仿宋简体"/>
          <w:b/>
          <w:sz w:val="32"/>
          <w:szCs w:val="32"/>
        </w:rPr>
        <w:t>应急处理</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第三十三条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存管银行应当建立完善的期货保证金存管银行网络与信息安全事件应急预案，做到职责明确、措施到位、反应快速、处置及时。</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第三十四条</w:t>
      </w:r>
      <w:r w:rsidRPr="00F16126">
        <w:rPr>
          <w:rFonts w:eastAsia="方正仿宋简体" w:hint="eastAsia"/>
          <w:sz w:val="32"/>
          <w:szCs w:val="32"/>
        </w:rPr>
        <w:t xml:space="preserve">  </w:t>
      </w:r>
      <w:r w:rsidRPr="00F16126">
        <w:rPr>
          <w:rFonts w:eastAsia="方正仿宋简体"/>
          <w:sz w:val="32"/>
          <w:szCs w:val="32"/>
        </w:rPr>
        <w:t>存管银行应当在交易所指定范围内设置应急网点（除交易所指定的营业网点外），应急网点在技术系统、通讯设备等方面应当符合交易所的要求。</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第三十五条</w:t>
      </w:r>
      <w:r w:rsidRPr="00F16126">
        <w:rPr>
          <w:rFonts w:eastAsia="方正仿宋简体" w:hint="eastAsia"/>
          <w:sz w:val="32"/>
          <w:szCs w:val="32"/>
        </w:rPr>
        <w:t xml:space="preserve">  </w:t>
      </w:r>
      <w:r w:rsidRPr="00F16126">
        <w:rPr>
          <w:rFonts w:eastAsia="方正仿宋简体"/>
          <w:sz w:val="32"/>
          <w:szCs w:val="32"/>
        </w:rPr>
        <w:t>存管银行发现资金划转系统发生故障的，应当立即通知交易所，并积极配合对系统进行检查，以确定原因、排除故障、明确责任。如有必要，可立即启动应急措施。</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第三十六条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存管银行在其发生影响期货保证金存管业务运行稳定和安全的情况下，应当立即启动应急预案，尽快恢复正常运行，并将相关情况报告交易所和监控中心。</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jc w:val="center"/>
        <w:rPr>
          <w:rFonts w:eastAsia="方正仿宋简体"/>
          <w:b/>
          <w:sz w:val="32"/>
          <w:szCs w:val="32"/>
        </w:rPr>
      </w:pPr>
      <w:r w:rsidRPr="00F16126">
        <w:rPr>
          <w:rFonts w:eastAsia="方正仿宋简体"/>
          <w:b/>
          <w:sz w:val="32"/>
          <w:szCs w:val="32"/>
        </w:rPr>
        <w:t>第六章</w:t>
      </w:r>
      <w:r w:rsidRPr="00F16126">
        <w:rPr>
          <w:rFonts w:eastAsia="方正仿宋简体" w:hint="eastAsia"/>
          <w:b/>
          <w:sz w:val="32"/>
          <w:szCs w:val="32"/>
        </w:rPr>
        <w:t xml:space="preserve"> </w:t>
      </w:r>
      <w:r w:rsidRPr="00F16126">
        <w:rPr>
          <w:rFonts w:eastAsia="方正仿宋简体"/>
          <w:b/>
          <w:sz w:val="32"/>
          <w:szCs w:val="32"/>
        </w:rPr>
        <w:t>监督管理</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第三十七条</w:t>
      </w:r>
      <w:r w:rsidRPr="00F16126">
        <w:rPr>
          <w:rFonts w:eastAsia="方正仿宋简体" w:hint="eastAsia"/>
          <w:b/>
          <w:sz w:val="32"/>
          <w:szCs w:val="32"/>
        </w:rPr>
        <w:t xml:space="preserve">  </w:t>
      </w:r>
      <w:r w:rsidRPr="00F16126">
        <w:rPr>
          <w:rFonts w:eastAsia="方正仿宋简体"/>
          <w:sz w:val="32"/>
          <w:szCs w:val="32"/>
        </w:rPr>
        <w:t>存管银行的期货保证金存管业务部门的岗位设置、职责规定、部门负责人、业务联系人等发生变更的，应当于变更发生之日起</w:t>
      </w:r>
      <w:r w:rsidRPr="00F16126">
        <w:rPr>
          <w:rFonts w:eastAsia="方正仿宋简体"/>
          <w:sz w:val="32"/>
          <w:szCs w:val="32"/>
        </w:rPr>
        <w:t>3</w:t>
      </w:r>
      <w:r w:rsidRPr="00F16126">
        <w:rPr>
          <w:rFonts w:eastAsia="方正仿宋简体"/>
          <w:sz w:val="32"/>
          <w:szCs w:val="32"/>
        </w:rPr>
        <w:t>个工作日内书面报告交易所和监控中心。</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第三十八条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存管银行出现影响该行资信状况的重大业务风险或者损失时，应当于风险或损失发生之日起</w:t>
      </w:r>
      <w:r w:rsidRPr="00F16126">
        <w:rPr>
          <w:rFonts w:eastAsia="方正仿宋简体"/>
          <w:sz w:val="32"/>
          <w:szCs w:val="32"/>
        </w:rPr>
        <w:t>3</w:t>
      </w:r>
      <w:r w:rsidRPr="00F16126">
        <w:rPr>
          <w:rFonts w:eastAsia="方正仿宋简体"/>
          <w:sz w:val="32"/>
          <w:szCs w:val="32"/>
        </w:rPr>
        <w:t>个工作日内向交易所和监控中心报告，并提交有关该业务风险或损失对该行保证金存管业务的影响及应对措施的报告。</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第三十九条</w:t>
      </w:r>
      <w:r w:rsidRPr="00F16126">
        <w:rPr>
          <w:rFonts w:eastAsia="方正仿宋简体" w:hint="eastAsia"/>
          <w:sz w:val="32"/>
          <w:szCs w:val="32"/>
        </w:rPr>
        <w:t xml:space="preserve">  </w:t>
      </w:r>
      <w:r w:rsidRPr="00F16126">
        <w:rPr>
          <w:rFonts w:eastAsia="方正仿宋简体"/>
          <w:sz w:val="32"/>
          <w:szCs w:val="32"/>
        </w:rPr>
        <w:t>存管银行实施系统升级改造或者实施其他可能影响期货保证金存管业务的措施前，应当提前</w:t>
      </w:r>
      <w:r w:rsidRPr="00F16126">
        <w:rPr>
          <w:rFonts w:eastAsia="方正仿宋简体"/>
          <w:sz w:val="32"/>
          <w:szCs w:val="32"/>
        </w:rPr>
        <w:t>5</w:t>
      </w:r>
      <w:r w:rsidRPr="00F16126">
        <w:rPr>
          <w:rFonts w:eastAsia="方正仿宋简体"/>
          <w:sz w:val="32"/>
          <w:szCs w:val="32"/>
        </w:rPr>
        <w:t>个工作日书面通知交易所、监控中心和交易所相关会员，并做好信息披露和系统测试工作，并制定针对性应急预案。</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第四十条</w:t>
      </w:r>
      <w:r w:rsidRPr="00F16126">
        <w:rPr>
          <w:rFonts w:eastAsia="方正仿宋简体" w:hint="eastAsia"/>
          <w:sz w:val="32"/>
          <w:szCs w:val="32"/>
        </w:rPr>
        <w:t xml:space="preserve">  </w:t>
      </w:r>
      <w:r w:rsidRPr="00F16126">
        <w:rPr>
          <w:rFonts w:eastAsia="方正仿宋简体"/>
          <w:sz w:val="32"/>
          <w:szCs w:val="32"/>
        </w:rPr>
        <w:t>存管银行应当在每一年度结束后</w:t>
      </w:r>
      <w:r w:rsidRPr="00F16126">
        <w:rPr>
          <w:rFonts w:eastAsia="方正仿宋简体"/>
          <w:sz w:val="32"/>
          <w:szCs w:val="32"/>
        </w:rPr>
        <w:t>1</w:t>
      </w:r>
      <w:r w:rsidRPr="00F16126">
        <w:rPr>
          <w:rFonts w:eastAsia="方正仿宋简体"/>
          <w:sz w:val="32"/>
          <w:szCs w:val="32"/>
        </w:rPr>
        <w:t>个月内，向交易所和监控中心提交有关期货保证金存管业务经营、技术运行、风险管理以及相关法律、行政法规、规章、政策执行情况的报告。</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第四十一条</w:t>
      </w:r>
      <w:r w:rsidRPr="00F16126">
        <w:rPr>
          <w:rFonts w:eastAsia="方正仿宋简体" w:hint="eastAsia"/>
          <w:sz w:val="32"/>
          <w:szCs w:val="32"/>
        </w:rPr>
        <w:t xml:space="preserve">  </w:t>
      </w:r>
      <w:r w:rsidRPr="00F16126">
        <w:rPr>
          <w:rFonts w:eastAsia="方正仿宋简体"/>
          <w:sz w:val="32"/>
          <w:szCs w:val="32"/>
        </w:rPr>
        <w:t>交易所对存管银行期货保证金存管业务资格条件进行复核、年度考核或者根据需要进行不定期考核时，存管银行应当予以配合。</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第四十二条</w:t>
      </w:r>
      <w:r w:rsidRPr="00F16126">
        <w:rPr>
          <w:rFonts w:eastAsia="方正仿宋简体" w:hint="eastAsia"/>
          <w:sz w:val="32"/>
          <w:szCs w:val="32"/>
        </w:rPr>
        <w:t xml:space="preserve">  </w:t>
      </w:r>
      <w:r w:rsidRPr="00F16126">
        <w:rPr>
          <w:rFonts w:eastAsia="方正仿宋简体"/>
          <w:sz w:val="32"/>
          <w:szCs w:val="32"/>
        </w:rPr>
        <w:t>交易所对存管银行的期货保证金存管业务进行年度考核，综合考核其开展期货保证金存管业务的时效性、安全性和准确性。考核内容包括资格条件、系统运维、人员配置、业务运营和风险控制等；考核方式包括存管银行自查、现场检查、结算会员评分等。</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考核结果分为</w:t>
      </w:r>
      <w:r w:rsidR="00ED1B9B">
        <w:rPr>
          <w:rFonts w:eastAsia="方正仿宋简体" w:hint="eastAsia"/>
          <w:sz w:val="32"/>
          <w:szCs w:val="32"/>
        </w:rPr>
        <w:t>“</w:t>
      </w:r>
      <w:r w:rsidR="00ED1B9B" w:rsidRPr="00F16126">
        <w:rPr>
          <w:rFonts w:eastAsia="方正仿宋简体"/>
          <w:sz w:val="32"/>
          <w:szCs w:val="32"/>
        </w:rPr>
        <w:t>优秀</w:t>
      </w:r>
      <w:r w:rsidR="00ED1B9B">
        <w:rPr>
          <w:rFonts w:eastAsia="方正仿宋简体" w:hint="eastAsia"/>
          <w:sz w:val="32"/>
          <w:szCs w:val="32"/>
        </w:rPr>
        <w:t>”、“</w:t>
      </w:r>
      <w:r w:rsidR="00ED1B9B" w:rsidRPr="00F16126">
        <w:rPr>
          <w:rFonts w:eastAsia="方正仿宋简体"/>
          <w:sz w:val="32"/>
          <w:szCs w:val="32"/>
        </w:rPr>
        <w:t>良好</w:t>
      </w:r>
      <w:r w:rsidR="00ED1B9B">
        <w:rPr>
          <w:rFonts w:eastAsia="方正仿宋简体" w:hint="eastAsia"/>
          <w:sz w:val="32"/>
          <w:szCs w:val="32"/>
        </w:rPr>
        <w:t>”、“</w:t>
      </w:r>
      <w:r w:rsidR="00ED1B9B" w:rsidRPr="00F16126">
        <w:rPr>
          <w:rFonts w:eastAsia="方正仿宋简体"/>
          <w:sz w:val="32"/>
          <w:szCs w:val="32"/>
        </w:rPr>
        <w:t>合格</w:t>
      </w:r>
      <w:r w:rsidR="00ED1B9B">
        <w:rPr>
          <w:rFonts w:eastAsia="方正仿宋简体" w:hint="eastAsia"/>
          <w:sz w:val="32"/>
          <w:szCs w:val="32"/>
        </w:rPr>
        <w:t>”、“</w:t>
      </w:r>
      <w:r w:rsidR="00ED1B9B" w:rsidRPr="00F16126">
        <w:rPr>
          <w:rFonts w:eastAsia="方正仿宋简体"/>
          <w:sz w:val="32"/>
          <w:szCs w:val="32"/>
        </w:rPr>
        <w:t>不合格</w:t>
      </w:r>
      <w:r w:rsidR="00ED1B9B">
        <w:rPr>
          <w:rFonts w:eastAsia="方正仿宋简体" w:hint="eastAsia"/>
          <w:sz w:val="32"/>
          <w:szCs w:val="32"/>
        </w:rPr>
        <w:t>”</w:t>
      </w:r>
      <w:r w:rsidRPr="00F16126">
        <w:rPr>
          <w:rFonts w:eastAsia="方正仿宋简体"/>
          <w:sz w:val="32"/>
          <w:szCs w:val="32"/>
        </w:rPr>
        <w:t>四个档次，考核结果将向各存管银行进行通报。</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第四十三条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交易所可以参考年度考评结果统筹安排存管银行的业务及双方合作项目，指导和监督存管银行的保证金存管业务。</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jc w:val="center"/>
        <w:rPr>
          <w:rFonts w:eastAsia="方正仿宋简体"/>
          <w:b/>
          <w:sz w:val="32"/>
          <w:szCs w:val="32"/>
        </w:rPr>
      </w:pPr>
      <w:r w:rsidRPr="00F16126">
        <w:rPr>
          <w:rFonts w:eastAsia="方正仿宋简体"/>
          <w:b/>
          <w:sz w:val="32"/>
          <w:szCs w:val="32"/>
        </w:rPr>
        <w:t>第七章</w:t>
      </w:r>
      <w:r w:rsidRPr="00F16126">
        <w:rPr>
          <w:rFonts w:eastAsia="方正仿宋简体" w:hint="eastAsia"/>
          <w:b/>
          <w:sz w:val="32"/>
          <w:szCs w:val="32"/>
        </w:rPr>
        <w:t xml:space="preserve"> </w:t>
      </w:r>
      <w:r w:rsidRPr="00F16126">
        <w:rPr>
          <w:rFonts w:eastAsia="方正仿宋简体"/>
          <w:b/>
          <w:sz w:val="32"/>
          <w:szCs w:val="32"/>
        </w:rPr>
        <w:t>违规处理</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第四十四条</w:t>
      </w:r>
      <w:r w:rsidRPr="00F16126">
        <w:rPr>
          <w:rFonts w:eastAsia="方正仿宋简体" w:hint="eastAsia"/>
          <w:sz w:val="32"/>
          <w:szCs w:val="32"/>
        </w:rPr>
        <w:t xml:space="preserve">  </w:t>
      </w:r>
      <w:r w:rsidRPr="00F16126">
        <w:rPr>
          <w:rFonts w:eastAsia="方正仿宋简体"/>
          <w:sz w:val="32"/>
          <w:szCs w:val="32"/>
        </w:rPr>
        <w:t>存管银行出现下列情形之一的，责令整改并根据情节轻重，采取书面警示、通报批评、暂停新增结算会员的存管业务等措施：</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（一）存管银行未按照本办法要求履行相关义务的；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（二）发生影响或可能影响期货保证金存管业务的情况时，存管银行未采取有效措施，可能危及期货市场稳健运行，损害交易所结算会员、客户合法权益的；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（三）存管银行未能按照监控中心相关要求报送期货保证金安全存管业务数据的；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（四）未经交易所书面同意，无故限制会员公司</w:t>
      </w:r>
      <w:proofErr w:type="gramStart"/>
      <w:r w:rsidRPr="00F16126">
        <w:rPr>
          <w:rFonts w:eastAsia="方正仿宋简体"/>
          <w:sz w:val="32"/>
          <w:szCs w:val="32"/>
        </w:rPr>
        <w:t>出入金</w:t>
      </w:r>
      <w:proofErr w:type="gramEnd"/>
      <w:r w:rsidRPr="00F16126">
        <w:rPr>
          <w:rFonts w:eastAsia="方正仿宋简体"/>
          <w:sz w:val="32"/>
          <w:szCs w:val="32"/>
        </w:rPr>
        <w:t>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（五）违反期货保证金存管业务协议或者交易所业务规则的；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（六）发生可能影响期货资金结算业务的业务操作失误或技术系统故障时，未立即通知交易所的，或未及时采取有效措施处理的；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（七）不符合银行业监督管理机构关于资本充足率、流动性、资产负债比例等指标要求的；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（八）未配合交易所对存管银行资金结算业务进行准入资格复核，不定期检查及年度考核，或者未按照要求提交上年度存管业务和期货结算业务总结报告或其他要求提供的材料的；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（九）结算会员普遍反映存管银行服务质量不佳，全国</w:t>
      </w:r>
      <w:proofErr w:type="gramStart"/>
      <w:r w:rsidRPr="00F16126">
        <w:rPr>
          <w:rFonts w:eastAsia="方正仿宋简体"/>
          <w:sz w:val="32"/>
          <w:szCs w:val="32"/>
        </w:rPr>
        <w:t>集中式银期转账</w:t>
      </w:r>
      <w:proofErr w:type="gramEnd"/>
      <w:r w:rsidRPr="00F16126">
        <w:rPr>
          <w:rFonts w:eastAsia="方正仿宋简体"/>
          <w:sz w:val="32"/>
          <w:szCs w:val="32"/>
        </w:rPr>
        <w:t>系统不稳定的；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（十）交易所认定的其他情况。</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第四十五条</w:t>
      </w:r>
      <w:r w:rsidRPr="00F16126">
        <w:rPr>
          <w:rFonts w:eastAsia="方正仿宋简体" w:hint="eastAsia"/>
          <w:sz w:val="32"/>
          <w:szCs w:val="32"/>
        </w:rPr>
        <w:t xml:space="preserve">  </w:t>
      </w:r>
      <w:r w:rsidRPr="00F16126">
        <w:rPr>
          <w:rFonts w:eastAsia="方正仿宋简体"/>
          <w:sz w:val="32"/>
          <w:szCs w:val="32"/>
        </w:rPr>
        <w:t>存管银行出现以下情况之一的，暂停全部存管业务：</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（一）未能采取有效措施，导致交易所专用结算账户内的资金被冻结或扣划的；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（二）协助交易所会员在期货保证金账户上设定担保</w:t>
      </w:r>
      <w:r>
        <w:rPr>
          <w:rFonts w:eastAsia="方正仿宋简体" w:hint="eastAsia"/>
          <w:sz w:val="32"/>
          <w:szCs w:val="32"/>
        </w:rPr>
        <w:t>；</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（三）最近</w:t>
      </w:r>
      <w:r w:rsidRPr="00F16126">
        <w:rPr>
          <w:rFonts w:eastAsia="方正仿宋简体"/>
          <w:sz w:val="32"/>
          <w:szCs w:val="32"/>
        </w:rPr>
        <w:t>1</w:t>
      </w:r>
      <w:r w:rsidRPr="00F16126">
        <w:rPr>
          <w:rFonts w:eastAsia="方正仿宋简体"/>
          <w:sz w:val="32"/>
          <w:szCs w:val="32"/>
        </w:rPr>
        <w:t>个会计年度发生亏损的；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（四）交易所认定的其他情况。</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第四十六条</w:t>
      </w:r>
      <w:r w:rsidRPr="00F16126">
        <w:rPr>
          <w:rFonts w:eastAsia="方正仿宋简体" w:hint="eastAsia"/>
          <w:sz w:val="32"/>
          <w:szCs w:val="32"/>
        </w:rPr>
        <w:t xml:space="preserve">  </w:t>
      </w:r>
      <w:r w:rsidRPr="00F16126">
        <w:rPr>
          <w:rFonts w:eastAsia="方正仿宋简体"/>
          <w:sz w:val="32"/>
          <w:szCs w:val="32"/>
        </w:rPr>
        <w:t>对于暂停期货保证金存管业务的存管银行，交易所认为其整改后重新具备正常开展期货保证金存管业务能力的，可以恢复其业务资格。</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第四十七条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存管银行出现以下情形之一的，交易所可以取消其期货保证金存管业务资格：</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（一）申请终止其期货保证金存管业务资格；</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（二）被依法撤销、解散或宣告破产；</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（三）被收购或兼并且丧失法人地位；</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（四）不再满足期货保证金存管业务资格条件；</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（五）最近</w:t>
      </w:r>
      <w:r w:rsidRPr="00F16126">
        <w:rPr>
          <w:rFonts w:eastAsia="方正仿宋简体"/>
          <w:sz w:val="32"/>
          <w:szCs w:val="32"/>
        </w:rPr>
        <w:t>3</w:t>
      </w:r>
      <w:r w:rsidRPr="00F16126">
        <w:rPr>
          <w:rFonts w:eastAsia="方正仿宋简体"/>
          <w:sz w:val="32"/>
          <w:szCs w:val="32"/>
        </w:rPr>
        <w:t>个会计年度连续发生亏损；</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（六）最近</w:t>
      </w:r>
      <w:r w:rsidRPr="00F16126">
        <w:rPr>
          <w:rFonts w:eastAsia="方正仿宋简体"/>
          <w:sz w:val="32"/>
          <w:szCs w:val="32"/>
        </w:rPr>
        <w:t>1</w:t>
      </w:r>
      <w:r w:rsidRPr="00F16126">
        <w:rPr>
          <w:rFonts w:eastAsia="方正仿宋简体"/>
          <w:sz w:val="32"/>
          <w:szCs w:val="32"/>
        </w:rPr>
        <w:t>个年度考核结果不合格；</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（七）向交易所提供虚假材料信息的；</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（八）交易所认为该存管银行存在重大风险隐患；</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（九）交易所规定的其他情况。</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第四十八条</w:t>
      </w:r>
      <w:r w:rsidRPr="00F16126">
        <w:rPr>
          <w:rFonts w:eastAsia="方正仿宋简体" w:hint="eastAsia"/>
          <w:sz w:val="32"/>
          <w:szCs w:val="32"/>
        </w:rPr>
        <w:t xml:space="preserve">  </w:t>
      </w:r>
      <w:r w:rsidRPr="00F16126">
        <w:rPr>
          <w:rFonts w:eastAsia="方正仿宋简体"/>
          <w:sz w:val="32"/>
          <w:szCs w:val="32"/>
        </w:rPr>
        <w:t>交易所取消存管银行期货保证金存管业务资格的，提前</w:t>
      </w:r>
      <w:r w:rsidRPr="00F16126">
        <w:rPr>
          <w:rFonts w:eastAsia="方正仿宋简体"/>
          <w:sz w:val="32"/>
          <w:szCs w:val="32"/>
        </w:rPr>
        <w:t>10</w:t>
      </w:r>
      <w:r w:rsidRPr="00F16126">
        <w:rPr>
          <w:rFonts w:eastAsia="方正仿宋简体"/>
          <w:sz w:val="32"/>
          <w:szCs w:val="32"/>
        </w:rPr>
        <w:t>个工作日向存管银行发出取消通知，并上报中国证监会，同时通过交易所网站予以公告。</w:t>
      </w:r>
    </w:p>
    <w:p w:rsidR="00C66C91" w:rsidRPr="00F16126" w:rsidRDefault="00C66C91" w:rsidP="0025268B">
      <w:pPr>
        <w:spacing w:line="560" w:lineRule="exact"/>
        <w:ind w:firstLineChars="200" w:firstLine="640"/>
        <w:rPr>
          <w:rFonts w:eastAsia="方正仿宋简体"/>
          <w:sz w:val="32"/>
          <w:szCs w:val="32"/>
        </w:rPr>
      </w:pPr>
      <w:r w:rsidRPr="00F16126">
        <w:rPr>
          <w:rFonts w:eastAsia="方正仿宋简体"/>
          <w:sz w:val="32"/>
          <w:szCs w:val="32"/>
        </w:rPr>
        <w:t>存管银行期货保证金存管业务资格的取消不影响该行与交易所已经存在的法律关系，交易所有权依法与该行了结相关业务关系。</w:t>
      </w:r>
    </w:p>
    <w:p w:rsidR="00C66C91" w:rsidRPr="00F16126" w:rsidRDefault="00C66C91" w:rsidP="0025268B">
      <w:pPr>
        <w:spacing w:line="560" w:lineRule="exact"/>
        <w:ind w:firstLineChars="200" w:firstLine="643"/>
        <w:rPr>
          <w:rFonts w:eastAsia="方正仿宋简体"/>
          <w:sz w:val="32"/>
          <w:szCs w:val="32"/>
        </w:rPr>
      </w:pPr>
      <w:r w:rsidRPr="00ED1B9B">
        <w:rPr>
          <w:rFonts w:eastAsia="方正仿宋简体"/>
          <w:b/>
          <w:sz w:val="32"/>
          <w:szCs w:val="32"/>
        </w:rPr>
        <w:t>第四十九条</w:t>
      </w:r>
      <w:r w:rsidRPr="00F16126">
        <w:rPr>
          <w:rFonts w:eastAsia="方正仿宋简体" w:hint="eastAsia"/>
          <w:sz w:val="32"/>
          <w:szCs w:val="32"/>
        </w:rPr>
        <w:t xml:space="preserve">  </w:t>
      </w:r>
      <w:r w:rsidRPr="00F16126">
        <w:rPr>
          <w:rFonts w:eastAsia="方正仿宋简体"/>
          <w:sz w:val="32"/>
          <w:szCs w:val="32"/>
        </w:rPr>
        <w:t>被交易所取消期货保证金存管业务资格的银行业金融机构，</w:t>
      </w:r>
      <w:proofErr w:type="gramStart"/>
      <w:r w:rsidRPr="00F16126">
        <w:rPr>
          <w:rFonts w:eastAsia="方正仿宋简体"/>
          <w:sz w:val="32"/>
          <w:szCs w:val="32"/>
        </w:rPr>
        <w:t>自取消</w:t>
      </w:r>
      <w:proofErr w:type="gramEnd"/>
      <w:r w:rsidRPr="00F16126">
        <w:rPr>
          <w:rFonts w:eastAsia="方正仿宋简体"/>
          <w:sz w:val="32"/>
          <w:szCs w:val="32"/>
        </w:rPr>
        <w:t>之日起</w:t>
      </w:r>
      <w:r w:rsidRPr="00F16126">
        <w:rPr>
          <w:rFonts w:eastAsia="方正仿宋简体"/>
          <w:sz w:val="32"/>
          <w:szCs w:val="32"/>
        </w:rPr>
        <w:t>3</w:t>
      </w:r>
      <w:r w:rsidRPr="00F16126">
        <w:rPr>
          <w:rFonts w:eastAsia="方正仿宋简体"/>
          <w:sz w:val="32"/>
          <w:szCs w:val="32"/>
        </w:rPr>
        <w:t>年内不得再申请期货保证金存管业务资格。</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jc w:val="center"/>
        <w:rPr>
          <w:rFonts w:eastAsia="方正仿宋简体"/>
          <w:b/>
          <w:sz w:val="32"/>
          <w:szCs w:val="32"/>
        </w:rPr>
      </w:pPr>
      <w:r w:rsidRPr="00F16126">
        <w:rPr>
          <w:rFonts w:eastAsia="方正仿宋简体"/>
          <w:b/>
          <w:sz w:val="32"/>
          <w:szCs w:val="32"/>
        </w:rPr>
        <w:t>第八章</w:t>
      </w:r>
      <w:r w:rsidRPr="00F16126">
        <w:rPr>
          <w:rFonts w:eastAsia="方正仿宋简体" w:hint="eastAsia"/>
          <w:b/>
          <w:sz w:val="32"/>
          <w:szCs w:val="32"/>
        </w:rPr>
        <w:t xml:space="preserve"> </w:t>
      </w:r>
      <w:r w:rsidRPr="00F16126">
        <w:rPr>
          <w:rFonts w:eastAsia="方正仿宋简体"/>
          <w:b/>
          <w:sz w:val="32"/>
          <w:szCs w:val="32"/>
        </w:rPr>
        <w:t>附则</w:t>
      </w:r>
    </w:p>
    <w:p w:rsidR="00C66C91" w:rsidRPr="00F16126" w:rsidRDefault="00C66C91" w:rsidP="0025268B">
      <w:pPr>
        <w:spacing w:line="560" w:lineRule="exact"/>
        <w:ind w:firstLine="640"/>
        <w:rPr>
          <w:rFonts w:eastAsia="方正仿宋简体"/>
          <w:sz w:val="32"/>
          <w:szCs w:val="32"/>
        </w:rPr>
      </w:pP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第五十条</w:t>
      </w:r>
      <w:r w:rsidRPr="00F16126">
        <w:rPr>
          <w:rFonts w:eastAsia="方正仿宋简体" w:hint="eastAsia"/>
          <w:sz w:val="32"/>
          <w:szCs w:val="32"/>
        </w:rPr>
        <w:t xml:space="preserve">  </w:t>
      </w:r>
      <w:r w:rsidRPr="00F16126">
        <w:rPr>
          <w:rFonts w:eastAsia="方正仿宋简体"/>
          <w:sz w:val="32"/>
          <w:szCs w:val="32"/>
        </w:rPr>
        <w:t>除有国家法律、法规规定外，未经交易所同意，存管银行不得以任何方式向第三方披露其在期货保证金存管业务及期货资金结算业务过程中接触到的与交易所有关的任何非公开信息。</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第五十一条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本办法实施前已开展业务的存管银行，无需重新申请期货保证金存管业务资格。</w:t>
      </w:r>
    </w:p>
    <w:p w:rsidR="00C66C91" w:rsidRPr="00F16126" w:rsidRDefault="00C66C91" w:rsidP="0025268B">
      <w:pPr>
        <w:spacing w:line="560" w:lineRule="exact"/>
        <w:ind w:firstLineChars="200" w:firstLine="643"/>
        <w:rPr>
          <w:rFonts w:eastAsia="方正仿宋简体"/>
          <w:sz w:val="32"/>
          <w:szCs w:val="32"/>
        </w:rPr>
      </w:pPr>
      <w:r w:rsidRPr="00F16126">
        <w:rPr>
          <w:rFonts w:eastAsia="方正仿宋简体"/>
          <w:b/>
          <w:sz w:val="32"/>
          <w:szCs w:val="32"/>
        </w:rPr>
        <w:t>第五十二条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本办法由交易所负责解释。</w:t>
      </w:r>
    </w:p>
    <w:p w:rsidR="00C81E30" w:rsidRDefault="00C66C91" w:rsidP="0025268B">
      <w:pPr>
        <w:spacing w:line="560" w:lineRule="exact"/>
        <w:ind w:firstLine="643"/>
        <w:rPr>
          <w:rFonts w:eastAsia="方正仿宋简体"/>
          <w:sz w:val="32"/>
          <w:szCs w:val="32"/>
        </w:rPr>
      </w:pPr>
      <w:r w:rsidRPr="00A366A6">
        <w:rPr>
          <w:rFonts w:eastAsia="方正仿宋简体"/>
          <w:b/>
          <w:sz w:val="32"/>
          <w:szCs w:val="32"/>
        </w:rPr>
        <w:t>第五十三条</w:t>
      </w:r>
      <w:r w:rsidRPr="00A366A6">
        <w:rPr>
          <w:rFonts w:eastAsia="方正仿宋简体" w:hint="eastAsia"/>
          <w:sz w:val="32"/>
          <w:szCs w:val="32"/>
        </w:rPr>
        <w:t xml:space="preserve">  </w:t>
      </w:r>
      <w:r w:rsidRPr="00A366A6">
        <w:rPr>
          <w:rFonts w:eastAsia="方正仿宋简体"/>
          <w:sz w:val="32"/>
          <w:szCs w:val="32"/>
        </w:rPr>
        <w:t>本办法自</w:t>
      </w:r>
      <w:r w:rsidR="00487917" w:rsidRPr="00A366A6">
        <w:rPr>
          <w:rFonts w:eastAsia="方正仿宋简体"/>
          <w:sz w:val="32"/>
          <w:szCs w:val="32"/>
        </w:rPr>
        <w:t>2020</w:t>
      </w:r>
      <w:r w:rsidRPr="00A366A6">
        <w:rPr>
          <w:rFonts w:eastAsia="方正仿宋简体"/>
          <w:sz w:val="32"/>
          <w:szCs w:val="32"/>
        </w:rPr>
        <w:t>年</w:t>
      </w:r>
      <w:r w:rsidR="00487917" w:rsidRPr="00A366A6">
        <w:rPr>
          <w:rFonts w:eastAsia="方正仿宋简体"/>
          <w:sz w:val="32"/>
          <w:szCs w:val="32"/>
        </w:rPr>
        <w:t>3</w:t>
      </w:r>
      <w:r w:rsidRPr="00A366A6">
        <w:rPr>
          <w:rFonts w:eastAsia="方正仿宋简体"/>
          <w:sz w:val="32"/>
          <w:szCs w:val="32"/>
        </w:rPr>
        <w:t>月</w:t>
      </w:r>
      <w:r w:rsidR="008B429B">
        <w:rPr>
          <w:rFonts w:eastAsia="方正仿宋简体"/>
          <w:sz w:val="32"/>
          <w:szCs w:val="32"/>
        </w:rPr>
        <w:t>9</w:t>
      </w:r>
      <w:r w:rsidRPr="00A366A6">
        <w:rPr>
          <w:rFonts w:eastAsia="方正仿宋简体"/>
          <w:sz w:val="32"/>
          <w:szCs w:val="32"/>
        </w:rPr>
        <w:t>日起实施。</w:t>
      </w:r>
    </w:p>
    <w:p w:rsidR="00775F69" w:rsidRDefault="00775F69" w:rsidP="00775F69">
      <w:pPr>
        <w:spacing w:line="560" w:lineRule="exact"/>
        <w:sectPr w:rsidR="00775F69"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pPr>
    </w:p>
    <w:p w:rsidR="00775F69" w:rsidRPr="00775F69" w:rsidRDefault="00775F69" w:rsidP="00775F69">
      <w:pPr>
        <w:jc w:val="left"/>
        <w:rPr>
          <w:rFonts w:eastAsia="方正仿宋简体"/>
          <w:sz w:val="32"/>
          <w:szCs w:val="32"/>
        </w:rPr>
      </w:pPr>
      <w:r w:rsidRPr="00775F69">
        <w:rPr>
          <w:rFonts w:eastAsia="方正仿宋简体"/>
          <w:sz w:val="32"/>
          <w:szCs w:val="32"/>
        </w:rPr>
        <w:t>附件</w:t>
      </w:r>
      <w:r w:rsidRPr="00775F69">
        <w:rPr>
          <w:rFonts w:eastAsia="方正仿宋简体"/>
          <w:sz w:val="32"/>
          <w:szCs w:val="32"/>
        </w:rPr>
        <w:t>1</w:t>
      </w:r>
      <w:r w:rsidRPr="00775F69">
        <w:rPr>
          <w:rFonts w:eastAsia="方正仿宋简体"/>
          <w:sz w:val="32"/>
          <w:szCs w:val="32"/>
        </w:rPr>
        <w:t>：</w:t>
      </w:r>
    </w:p>
    <w:p w:rsidR="00775F69" w:rsidRPr="00775F69" w:rsidRDefault="00775F69" w:rsidP="00775F69">
      <w:pPr>
        <w:jc w:val="center"/>
        <w:rPr>
          <w:rFonts w:ascii="方正大标宋简体" w:eastAsia="方正大标宋简体"/>
          <w:sz w:val="36"/>
          <w:szCs w:val="36"/>
        </w:rPr>
      </w:pPr>
      <w:r w:rsidRPr="00775F69">
        <w:rPr>
          <w:rFonts w:ascii="方正大标宋简体" w:eastAsia="方正大标宋简体" w:hint="eastAsia"/>
          <w:sz w:val="36"/>
          <w:szCs w:val="36"/>
        </w:rPr>
        <w:t>期货保证金存管业务资格申请表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490"/>
        <w:gridCol w:w="1367"/>
        <w:gridCol w:w="1336"/>
        <w:gridCol w:w="1202"/>
      </w:tblGrid>
      <w:tr w:rsidR="00775F69" w:rsidRPr="00775F69" w:rsidTr="00CC3F3F">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申请人全称</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775F69">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注册地址</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注册资本</w:t>
            </w:r>
          </w:p>
        </w:tc>
        <w:tc>
          <w:tcPr>
            <w:tcW w:w="4019" w:type="dxa"/>
            <w:gridSpan w:val="3"/>
          </w:tcPr>
          <w:p w:rsidR="00775F69" w:rsidRPr="00775F69" w:rsidRDefault="00775F69" w:rsidP="00775F69">
            <w:pPr>
              <w:spacing w:line="480" w:lineRule="exact"/>
              <w:rPr>
                <w:rFonts w:eastAsia="方正仿宋简体"/>
                <w:sz w:val="28"/>
                <w:szCs w:val="28"/>
              </w:rPr>
            </w:pPr>
            <w:bookmarkStart w:id="0" w:name="_GoBack"/>
            <w:bookmarkEnd w:id="0"/>
          </w:p>
        </w:tc>
      </w:tr>
      <w:tr w:rsidR="00775F69" w:rsidRPr="00775F69" w:rsidTr="00775F69">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邮政编码</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法定代表人姓名</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775F69">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企业法人营业执照号码</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金融业务许可证号码</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775F69">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存管业务负责部门</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联系电话</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775F69">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传真电话</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val="restart"/>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存管银行业务负责人</w:t>
            </w: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姓名</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部门及职务</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联系方式</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775F69">
        <w:tc>
          <w:tcPr>
            <w:tcW w:w="1951" w:type="dxa"/>
            <w:vMerge w:val="restart"/>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上海分行业务负责人</w:t>
            </w: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姓名</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部门及职务</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775F69">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联系方式</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val="restart"/>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上海分行技术负责人</w:t>
            </w: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姓名</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部门及职务</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联系方式</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775F69">
        <w:tc>
          <w:tcPr>
            <w:tcW w:w="1951" w:type="dxa"/>
            <w:vMerge w:val="restart"/>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指定网点上级机构业务负责人</w:t>
            </w: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姓名</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部门及职务</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775F69">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联系方式</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经办人姓名</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775F69">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经办人身份证号码</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4503" w:type="dxa"/>
            <w:gridSpan w:val="2"/>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经办人联系电话</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val="restart"/>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申请人基本财务状况及其他情况</w:t>
            </w:r>
          </w:p>
        </w:tc>
        <w:tc>
          <w:tcPr>
            <w:tcW w:w="2552" w:type="dxa"/>
            <w:vMerge w:val="restart"/>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上一年度期末（经审计）总资产、净资产、净资本、资本充足率、资产负债率</w:t>
            </w:r>
          </w:p>
        </w:tc>
        <w:tc>
          <w:tcPr>
            <w:tcW w:w="4019" w:type="dxa"/>
            <w:gridSpan w:val="3"/>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总资产：</w:t>
            </w: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vMerge/>
          </w:tcPr>
          <w:p w:rsidR="00775F69" w:rsidRPr="00775F69" w:rsidRDefault="00775F69" w:rsidP="00775F69">
            <w:pPr>
              <w:spacing w:line="480" w:lineRule="exact"/>
              <w:rPr>
                <w:rFonts w:eastAsia="方正仿宋简体"/>
                <w:sz w:val="28"/>
                <w:szCs w:val="28"/>
              </w:rPr>
            </w:pPr>
          </w:p>
        </w:tc>
        <w:tc>
          <w:tcPr>
            <w:tcW w:w="4019" w:type="dxa"/>
            <w:gridSpan w:val="3"/>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净资产：</w:t>
            </w: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vMerge/>
          </w:tcPr>
          <w:p w:rsidR="00775F69" w:rsidRPr="00775F69" w:rsidRDefault="00775F69" w:rsidP="00775F69">
            <w:pPr>
              <w:spacing w:line="480" w:lineRule="exact"/>
              <w:rPr>
                <w:rFonts w:eastAsia="方正仿宋简体"/>
                <w:sz w:val="28"/>
                <w:szCs w:val="28"/>
              </w:rPr>
            </w:pPr>
          </w:p>
        </w:tc>
        <w:tc>
          <w:tcPr>
            <w:tcW w:w="4019" w:type="dxa"/>
            <w:gridSpan w:val="3"/>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净资本：</w:t>
            </w: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vMerge/>
          </w:tcPr>
          <w:p w:rsidR="00775F69" w:rsidRPr="00775F69" w:rsidRDefault="00775F69" w:rsidP="00775F69">
            <w:pPr>
              <w:spacing w:line="480" w:lineRule="exact"/>
              <w:rPr>
                <w:rFonts w:eastAsia="方正仿宋简体"/>
                <w:sz w:val="28"/>
                <w:szCs w:val="28"/>
              </w:rPr>
            </w:pPr>
          </w:p>
        </w:tc>
        <w:tc>
          <w:tcPr>
            <w:tcW w:w="4019" w:type="dxa"/>
            <w:gridSpan w:val="3"/>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资本充足率：</w:t>
            </w: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vMerge/>
          </w:tcPr>
          <w:p w:rsidR="00775F69" w:rsidRPr="00775F69" w:rsidRDefault="00775F69" w:rsidP="00775F69">
            <w:pPr>
              <w:spacing w:line="480" w:lineRule="exact"/>
              <w:rPr>
                <w:rFonts w:eastAsia="方正仿宋简体"/>
                <w:sz w:val="28"/>
                <w:szCs w:val="28"/>
              </w:rPr>
            </w:pPr>
          </w:p>
        </w:tc>
        <w:tc>
          <w:tcPr>
            <w:tcW w:w="4019" w:type="dxa"/>
            <w:gridSpan w:val="3"/>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资产负债率：</w:t>
            </w: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最近三年的净利润</w:t>
            </w:r>
          </w:p>
        </w:tc>
        <w:tc>
          <w:tcPr>
            <w:tcW w:w="1407" w:type="dxa"/>
          </w:tcPr>
          <w:p w:rsidR="00775F69" w:rsidRPr="00775F69" w:rsidRDefault="00775F69" w:rsidP="00775F69">
            <w:pPr>
              <w:spacing w:line="480" w:lineRule="exact"/>
              <w:rPr>
                <w:rFonts w:eastAsia="方正仿宋简体"/>
                <w:sz w:val="28"/>
                <w:szCs w:val="28"/>
              </w:rPr>
            </w:pPr>
          </w:p>
        </w:tc>
        <w:tc>
          <w:tcPr>
            <w:tcW w:w="1375" w:type="dxa"/>
          </w:tcPr>
          <w:p w:rsidR="00775F69" w:rsidRPr="00775F69" w:rsidRDefault="00775F69" w:rsidP="00775F69">
            <w:pPr>
              <w:spacing w:line="480" w:lineRule="exact"/>
              <w:rPr>
                <w:rFonts w:eastAsia="方正仿宋简体"/>
                <w:sz w:val="28"/>
                <w:szCs w:val="28"/>
              </w:rPr>
            </w:pPr>
          </w:p>
        </w:tc>
        <w:tc>
          <w:tcPr>
            <w:tcW w:w="1237" w:type="dxa"/>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最近三年资本充足率</w:t>
            </w:r>
          </w:p>
        </w:tc>
        <w:tc>
          <w:tcPr>
            <w:tcW w:w="1407" w:type="dxa"/>
          </w:tcPr>
          <w:p w:rsidR="00775F69" w:rsidRPr="00775F69" w:rsidRDefault="00775F69" w:rsidP="00775F69">
            <w:pPr>
              <w:spacing w:line="480" w:lineRule="exact"/>
              <w:rPr>
                <w:rFonts w:eastAsia="方正仿宋简体"/>
                <w:sz w:val="28"/>
                <w:szCs w:val="28"/>
              </w:rPr>
            </w:pPr>
          </w:p>
        </w:tc>
        <w:tc>
          <w:tcPr>
            <w:tcW w:w="1375" w:type="dxa"/>
          </w:tcPr>
          <w:p w:rsidR="00775F69" w:rsidRPr="00775F69" w:rsidRDefault="00775F69" w:rsidP="00775F69">
            <w:pPr>
              <w:spacing w:line="480" w:lineRule="exact"/>
              <w:rPr>
                <w:rFonts w:eastAsia="方正仿宋简体"/>
                <w:sz w:val="28"/>
                <w:szCs w:val="28"/>
              </w:rPr>
            </w:pPr>
          </w:p>
        </w:tc>
        <w:tc>
          <w:tcPr>
            <w:tcW w:w="1237" w:type="dxa"/>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最近三年资产负债率</w:t>
            </w:r>
          </w:p>
        </w:tc>
        <w:tc>
          <w:tcPr>
            <w:tcW w:w="1407" w:type="dxa"/>
          </w:tcPr>
          <w:p w:rsidR="00775F69" w:rsidRPr="00775F69" w:rsidRDefault="00775F69" w:rsidP="00775F69">
            <w:pPr>
              <w:spacing w:line="480" w:lineRule="exact"/>
              <w:rPr>
                <w:rFonts w:eastAsia="方正仿宋简体"/>
                <w:sz w:val="28"/>
                <w:szCs w:val="28"/>
              </w:rPr>
            </w:pPr>
          </w:p>
        </w:tc>
        <w:tc>
          <w:tcPr>
            <w:tcW w:w="1375" w:type="dxa"/>
          </w:tcPr>
          <w:p w:rsidR="00775F69" w:rsidRPr="00775F69" w:rsidRDefault="00775F69" w:rsidP="00775F69">
            <w:pPr>
              <w:spacing w:line="480" w:lineRule="exact"/>
              <w:rPr>
                <w:rFonts w:eastAsia="方正仿宋简体"/>
                <w:sz w:val="28"/>
                <w:szCs w:val="28"/>
              </w:rPr>
            </w:pPr>
          </w:p>
        </w:tc>
        <w:tc>
          <w:tcPr>
            <w:tcW w:w="1237" w:type="dxa"/>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最近三年流动比率</w:t>
            </w:r>
          </w:p>
        </w:tc>
        <w:tc>
          <w:tcPr>
            <w:tcW w:w="1407" w:type="dxa"/>
          </w:tcPr>
          <w:p w:rsidR="00775F69" w:rsidRPr="00775F69" w:rsidRDefault="00775F69" w:rsidP="00775F69">
            <w:pPr>
              <w:spacing w:line="480" w:lineRule="exact"/>
              <w:rPr>
                <w:rFonts w:eastAsia="方正仿宋简体"/>
                <w:sz w:val="28"/>
                <w:szCs w:val="28"/>
              </w:rPr>
            </w:pPr>
          </w:p>
        </w:tc>
        <w:tc>
          <w:tcPr>
            <w:tcW w:w="1375" w:type="dxa"/>
          </w:tcPr>
          <w:p w:rsidR="00775F69" w:rsidRPr="00775F69" w:rsidRDefault="00775F69" w:rsidP="00775F69">
            <w:pPr>
              <w:spacing w:line="480" w:lineRule="exact"/>
              <w:rPr>
                <w:rFonts w:eastAsia="方正仿宋简体"/>
                <w:sz w:val="28"/>
                <w:szCs w:val="28"/>
              </w:rPr>
            </w:pPr>
          </w:p>
        </w:tc>
        <w:tc>
          <w:tcPr>
            <w:tcW w:w="1237" w:type="dxa"/>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分支机构的数量</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与期货存管业务有关的内部控制制度</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c>
          <w:tcPr>
            <w:tcW w:w="1951" w:type="dxa"/>
            <w:vMerge/>
          </w:tcPr>
          <w:p w:rsidR="00775F69" w:rsidRPr="00775F69" w:rsidRDefault="00775F69" w:rsidP="00775F69">
            <w:pPr>
              <w:spacing w:line="480" w:lineRule="exact"/>
              <w:rPr>
                <w:rFonts w:eastAsia="方正仿宋简体"/>
                <w:sz w:val="28"/>
                <w:szCs w:val="28"/>
              </w:rPr>
            </w:pPr>
          </w:p>
        </w:tc>
        <w:tc>
          <w:tcPr>
            <w:tcW w:w="2552" w:type="dxa"/>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其他情况说明</w:t>
            </w:r>
          </w:p>
        </w:tc>
        <w:tc>
          <w:tcPr>
            <w:tcW w:w="4019" w:type="dxa"/>
            <w:gridSpan w:val="3"/>
          </w:tcPr>
          <w:p w:rsidR="00775F69" w:rsidRPr="00775F69" w:rsidRDefault="00775F69" w:rsidP="00775F69">
            <w:pPr>
              <w:spacing w:line="480" w:lineRule="exact"/>
              <w:rPr>
                <w:rFonts w:eastAsia="方正仿宋简体"/>
                <w:sz w:val="28"/>
                <w:szCs w:val="28"/>
              </w:rPr>
            </w:pPr>
          </w:p>
        </w:tc>
      </w:tr>
      <w:tr w:rsidR="00775F69" w:rsidRPr="00775F69" w:rsidTr="00CC3F3F">
        <w:trPr>
          <w:trHeight w:val="1646"/>
        </w:trPr>
        <w:tc>
          <w:tcPr>
            <w:tcW w:w="8522" w:type="dxa"/>
            <w:gridSpan w:val="5"/>
          </w:tcPr>
          <w:p w:rsidR="00775F69" w:rsidRPr="00775F69" w:rsidRDefault="00775F69" w:rsidP="00775F69">
            <w:pPr>
              <w:spacing w:line="480" w:lineRule="exact"/>
              <w:rPr>
                <w:rFonts w:eastAsia="方正仿宋简体"/>
                <w:sz w:val="28"/>
                <w:szCs w:val="28"/>
              </w:rPr>
            </w:pPr>
            <w:r w:rsidRPr="00775F69">
              <w:rPr>
                <w:rFonts w:eastAsia="方正仿宋简体"/>
                <w:sz w:val="28"/>
                <w:szCs w:val="28"/>
              </w:rPr>
              <w:t>法定代表人或授权代表人（签字并盖章）申请人盖章</w:t>
            </w:r>
          </w:p>
        </w:tc>
      </w:tr>
    </w:tbl>
    <w:p w:rsidR="00775F69" w:rsidRPr="001B340C" w:rsidRDefault="00775F69" w:rsidP="00775F69">
      <w:pPr>
        <w:rPr>
          <w:rFonts w:asciiTheme="minorEastAsia" w:eastAsiaTheme="minorEastAsia" w:hAnsiTheme="minorEastAsia"/>
          <w:sz w:val="24"/>
        </w:rPr>
      </w:pPr>
    </w:p>
    <w:p w:rsidR="00775F69" w:rsidRDefault="00775F69" w:rsidP="00775F69">
      <w:pPr>
        <w:sectPr w:rsidR="00775F69">
          <w:pgSz w:w="11906" w:h="16838"/>
          <w:pgMar w:top="1440" w:right="1800" w:bottom="1440" w:left="1800" w:header="851" w:footer="992" w:gutter="0"/>
          <w:cols w:space="425"/>
          <w:docGrid w:type="lines" w:linePitch="312"/>
        </w:sectPr>
      </w:pPr>
    </w:p>
    <w:p w:rsidR="00775F69" w:rsidRPr="00DE32E8" w:rsidRDefault="00775F69" w:rsidP="00775F69">
      <w:pPr>
        <w:rPr>
          <w:rFonts w:eastAsia="方正仿宋简体"/>
          <w:sz w:val="32"/>
          <w:szCs w:val="32"/>
        </w:rPr>
      </w:pPr>
      <w:r w:rsidRPr="00DE32E8">
        <w:rPr>
          <w:rFonts w:eastAsia="方正仿宋简体"/>
          <w:sz w:val="32"/>
          <w:szCs w:val="32"/>
        </w:rPr>
        <w:t>附件</w:t>
      </w:r>
      <w:r w:rsidRPr="00DE32E8">
        <w:rPr>
          <w:rFonts w:eastAsia="方正仿宋简体"/>
          <w:sz w:val="32"/>
          <w:szCs w:val="32"/>
        </w:rPr>
        <w:t>2</w:t>
      </w:r>
      <w:r w:rsidRPr="00DE32E8">
        <w:rPr>
          <w:rFonts w:eastAsia="方正仿宋简体"/>
          <w:sz w:val="32"/>
          <w:szCs w:val="32"/>
        </w:rPr>
        <w:t>：</w:t>
      </w:r>
    </w:p>
    <w:p w:rsidR="00775F69" w:rsidRPr="00DE32E8" w:rsidRDefault="00775F69" w:rsidP="00775F69">
      <w:pPr>
        <w:rPr>
          <w:rFonts w:eastAsia="方正仿宋简体"/>
          <w:sz w:val="32"/>
          <w:szCs w:val="32"/>
        </w:rPr>
      </w:pPr>
    </w:p>
    <w:p w:rsidR="00775F69" w:rsidRPr="00DE32E8" w:rsidRDefault="00775F69" w:rsidP="00775F69">
      <w:pPr>
        <w:jc w:val="center"/>
        <w:rPr>
          <w:rFonts w:ascii="方正大标宋简体" w:eastAsia="方正大标宋简体"/>
          <w:sz w:val="36"/>
          <w:szCs w:val="36"/>
        </w:rPr>
      </w:pPr>
      <w:r w:rsidRPr="00DE32E8">
        <w:rPr>
          <w:rFonts w:ascii="方正大标宋简体" w:eastAsia="方正大标宋简体" w:hint="eastAsia"/>
          <w:sz w:val="36"/>
          <w:szCs w:val="36"/>
        </w:rPr>
        <w:t>授权书</w:t>
      </w:r>
    </w:p>
    <w:p w:rsidR="00775F69" w:rsidRPr="00DE32E8" w:rsidRDefault="00775F69" w:rsidP="00775F69">
      <w:pPr>
        <w:rPr>
          <w:rFonts w:eastAsia="方正仿宋简体"/>
          <w:sz w:val="32"/>
          <w:szCs w:val="32"/>
        </w:rPr>
      </w:pPr>
    </w:p>
    <w:p w:rsidR="00775F69" w:rsidRPr="00DE32E8" w:rsidRDefault="00775F69" w:rsidP="00775F69">
      <w:pPr>
        <w:rPr>
          <w:rFonts w:eastAsia="方正仿宋简体"/>
          <w:sz w:val="32"/>
          <w:szCs w:val="32"/>
        </w:rPr>
      </w:pPr>
      <w:r w:rsidRPr="00DE32E8">
        <w:rPr>
          <w:rFonts w:eastAsia="方正仿宋简体"/>
          <w:sz w:val="32"/>
          <w:szCs w:val="32"/>
        </w:rPr>
        <w:t>中国金融期货交易所股份有限公司：</w:t>
      </w:r>
    </w:p>
    <w:p w:rsidR="00775F69" w:rsidRPr="00DE32E8" w:rsidRDefault="00775F69" w:rsidP="00775F69">
      <w:pPr>
        <w:ind w:firstLineChars="200" w:firstLine="640"/>
        <w:rPr>
          <w:rFonts w:eastAsia="方正仿宋简体"/>
          <w:sz w:val="32"/>
          <w:szCs w:val="32"/>
        </w:rPr>
      </w:pPr>
      <w:r w:rsidRPr="00DE32E8">
        <w:rPr>
          <w:rFonts w:eastAsia="方正仿宋简体"/>
          <w:sz w:val="32"/>
          <w:szCs w:val="32"/>
        </w:rPr>
        <w:t>特授权我行职员</w:t>
      </w:r>
      <w:r w:rsidRPr="00DE32E8">
        <w:rPr>
          <w:rFonts w:eastAsia="方正仿宋简体"/>
          <w:sz w:val="32"/>
          <w:szCs w:val="32"/>
          <w:u w:val="single"/>
        </w:rPr>
        <w:t xml:space="preserve">                </w:t>
      </w:r>
      <w:r w:rsidRPr="00DE32E8">
        <w:rPr>
          <w:rFonts w:eastAsia="方正仿宋简体"/>
          <w:sz w:val="32"/>
          <w:szCs w:val="32"/>
        </w:rPr>
        <w:t>（女士</w:t>
      </w:r>
      <w:r w:rsidRPr="00DE32E8">
        <w:rPr>
          <w:rFonts w:eastAsia="方正仿宋简体"/>
          <w:sz w:val="32"/>
          <w:szCs w:val="32"/>
        </w:rPr>
        <w:t>/</w:t>
      </w:r>
      <w:r w:rsidRPr="00DE32E8">
        <w:rPr>
          <w:rFonts w:eastAsia="方正仿宋简体"/>
          <w:sz w:val="32"/>
          <w:szCs w:val="32"/>
        </w:rPr>
        <w:t>先生）（身份证号：</w:t>
      </w:r>
      <w:r w:rsidRPr="00DE32E8">
        <w:rPr>
          <w:rFonts w:eastAsia="方正仿宋简体"/>
          <w:sz w:val="32"/>
          <w:szCs w:val="32"/>
          <w:u w:val="single"/>
        </w:rPr>
        <w:t xml:space="preserve">           </w:t>
      </w:r>
      <w:r w:rsidRPr="00DE32E8">
        <w:rPr>
          <w:rFonts w:eastAsia="方正仿宋简体"/>
          <w:sz w:val="32"/>
          <w:szCs w:val="32"/>
        </w:rPr>
        <w:t>）代表我</w:t>
      </w:r>
      <w:proofErr w:type="gramStart"/>
      <w:r w:rsidRPr="00DE32E8">
        <w:rPr>
          <w:rFonts w:eastAsia="方正仿宋简体"/>
          <w:sz w:val="32"/>
          <w:szCs w:val="32"/>
        </w:rPr>
        <w:t>行前往</w:t>
      </w:r>
      <w:proofErr w:type="gramEnd"/>
      <w:r w:rsidRPr="00DE32E8">
        <w:rPr>
          <w:rFonts w:eastAsia="方正仿宋简体"/>
          <w:sz w:val="32"/>
          <w:szCs w:val="32"/>
        </w:rPr>
        <w:t>贵所办理期货保证金存管银行资格的申请事宜。其权限范围：代表我行办理与贵所期货保证金存管银行资格申请有关的全部工作，包括但不限于向贵所提出期货保证金存管银行资格申请并提交申请文件、签署与期货保证金存管银行资格申请相关的文件，接受贵所向我行提交的与期货保证金存管银行资格申请相关的文件。本授权有效期从</w:t>
      </w:r>
      <w:r w:rsidRPr="00DE32E8">
        <w:rPr>
          <w:rFonts w:eastAsia="方正仿宋简体"/>
          <w:sz w:val="32"/>
          <w:szCs w:val="32"/>
          <w:u w:val="single"/>
        </w:rPr>
        <w:t xml:space="preserve">   </w:t>
      </w:r>
      <w:r w:rsidRPr="00DE32E8">
        <w:rPr>
          <w:rFonts w:eastAsia="方正仿宋简体"/>
          <w:sz w:val="32"/>
          <w:szCs w:val="32"/>
        </w:rPr>
        <w:t>年</w:t>
      </w:r>
      <w:r w:rsidRPr="00DE32E8">
        <w:rPr>
          <w:rFonts w:eastAsia="方正仿宋简体"/>
          <w:sz w:val="32"/>
          <w:szCs w:val="32"/>
          <w:u w:val="single"/>
        </w:rPr>
        <w:t xml:space="preserve">   </w:t>
      </w:r>
      <w:r w:rsidRPr="00DE32E8">
        <w:rPr>
          <w:rFonts w:eastAsia="方正仿宋简体"/>
          <w:sz w:val="32"/>
          <w:szCs w:val="32"/>
        </w:rPr>
        <w:t>月</w:t>
      </w:r>
      <w:r w:rsidRPr="00DE32E8">
        <w:rPr>
          <w:rFonts w:eastAsia="方正仿宋简体"/>
          <w:sz w:val="32"/>
          <w:szCs w:val="32"/>
          <w:u w:val="single"/>
        </w:rPr>
        <w:t xml:space="preserve">   </w:t>
      </w:r>
      <w:r w:rsidRPr="00DE32E8">
        <w:rPr>
          <w:rFonts w:eastAsia="方正仿宋简体"/>
          <w:sz w:val="32"/>
          <w:szCs w:val="32"/>
        </w:rPr>
        <w:t>日到</w:t>
      </w:r>
      <w:r w:rsidRPr="00DE32E8">
        <w:rPr>
          <w:rFonts w:eastAsia="方正仿宋简体"/>
          <w:sz w:val="32"/>
          <w:szCs w:val="32"/>
          <w:u w:val="single"/>
        </w:rPr>
        <w:t xml:space="preserve">    </w:t>
      </w:r>
      <w:r w:rsidRPr="00DE32E8">
        <w:rPr>
          <w:rFonts w:eastAsia="方正仿宋简体"/>
          <w:sz w:val="32"/>
          <w:szCs w:val="32"/>
        </w:rPr>
        <w:t>年</w:t>
      </w:r>
      <w:r w:rsidRPr="00DE32E8">
        <w:rPr>
          <w:rFonts w:eastAsia="方正仿宋简体"/>
          <w:sz w:val="32"/>
          <w:szCs w:val="32"/>
          <w:u w:val="single"/>
        </w:rPr>
        <w:t xml:space="preserve">   </w:t>
      </w:r>
      <w:r w:rsidRPr="00DE32E8">
        <w:rPr>
          <w:rFonts w:eastAsia="方正仿宋简体"/>
          <w:sz w:val="32"/>
          <w:szCs w:val="32"/>
        </w:rPr>
        <w:t>月</w:t>
      </w:r>
      <w:r w:rsidRPr="00DE32E8">
        <w:rPr>
          <w:rFonts w:eastAsia="方正仿宋简体"/>
          <w:sz w:val="32"/>
          <w:szCs w:val="32"/>
          <w:u w:val="single"/>
        </w:rPr>
        <w:t xml:space="preserve">  </w:t>
      </w:r>
      <w:r w:rsidRPr="00DE32E8">
        <w:rPr>
          <w:rFonts w:eastAsia="方正仿宋简体"/>
          <w:sz w:val="32"/>
          <w:szCs w:val="32"/>
        </w:rPr>
        <w:t>日止。</w:t>
      </w:r>
    </w:p>
    <w:p w:rsidR="00775F69" w:rsidRPr="00DE32E8" w:rsidRDefault="00775F69" w:rsidP="00775F69">
      <w:pPr>
        <w:ind w:firstLineChars="200" w:firstLine="640"/>
        <w:rPr>
          <w:rFonts w:eastAsia="方正仿宋简体"/>
          <w:sz w:val="32"/>
          <w:szCs w:val="32"/>
        </w:rPr>
      </w:pPr>
      <w:r w:rsidRPr="00DE32E8">
        <w:rPr>
          <w:rFonts w:eastAsia="方正仿宋简体"/>
          <w:sz w:val="32"/>
          <w:szCs w:val="32"/>
        </w:rPr>
        <w:t>特此授权。</w:t>
      </w:r>
    </w:p>
    <w:p w:rsidR="00775F69" w:rsidRPr="00DE32E8" w:rsidRDefault="00775F69" w:rsidP="00775F69">
      <w:pPr>
        <w:rPr>
          <w:rFonts w:eastAsia="方正仿宋简体"/>
          <w:sz w:val="32"/>
          <w:szCs w:val="32"/>
        </w:rPr>
      </w:pPr>
    </w:p>
    <w:p w:rsidR="00775F69" w:rsidRPr="00DE32E8" w:rsidRDefault="00775F69" w:rsidP="00775F69">
      <w:pPr>
        <w:rPr>
          <w:rFonts w:eastAsia="方正仿宋简体"/>
          <w:sz w:val="32"/>
          <w:szCs w:val="32"/>
        </w:rPr>
      </w:pPr>
    </w:p>
    <w:p w:rsidR="00775F69" w:rsidRPr="00DE32E8" w:rsidRDefault="00775F69" w:rsidP="00775F69">
      <w:pPr>
        <w:ind w:firstLineChars="1400" w:firstLine="4480"/>
        <w:rPr>
          <w:rFonts w:eastAsia="方正仿宋简体"/>
          <w:sz w:val="32"/>
          <w:szCs w:val="32"/>
        </w:rPr>
      </w:pPr>
      <w:r w:rsidRPr="00DE32E8">
        <w:rPr>
          <w:rFonts w:eastAsia="方正仿宋简体"/>
          <w:sz w:val="32"/>
          <w:szCs w:val="32"/>
        </w:rPr>
        <w:t>授权人：银行（盖章）</w:t>
      </w:r>
    </w:p>
    <w:p w:rsidR="00775F69" w:rsidRPr="00DE32E8" w:rsidRDefault="00775F69" w:rsidP="00775F69">
      <w:pPr>
        <w:ind w:firstLineChars="1400" w:firstLine="4480"/>
        <w:rPr>
          <w:rFonts w:eastAsia="方正仿宋简体"/>
          <w:sz w:val="32"/>
          <w:szCs w:val="32"/>
        </w:rPr>
      </w:pPr>
      <w:r w:rsidRPr="00DE32E8">
        <w:rPr>
          <w:rFonts w:eastAsia="方正仿宋简体"/>
          <w:sz w:val="32"/>
          <w:szCs w:val="32"/>
        </w:rPr>
        <w:t>法定代表人：（签字并盖章）</w:t>
      </w:r>
    </w:p>
    <w:p w:rsidR="00775F69" w:rsidRPr="00775F69" w:rsidRDefault="00775F69" w:rsidP="00775F69">
      <w:pPr>
        <w:ind w:firstLineChars="1800" w:firstLine="5760"/>
      </w:pPr>
      <w:r w:rsidRPr="00DE32E8">
        <w:rPr>
          <w:rFonts w:eastAsia="方正仿宋简体"/>
          <w:sz w:val="32"/>
          <w:szCs w:val="32"/>
        </w:rPr>
        <w:t>年</w:t>
      </w:r>
      <w:r w:rsidRPr="00DE32E8">
        <w:rPr>
          <w:rFonts w:eastAsia="方正仿宋简体"/>
          <w:sz w:val="32"/>
          <w:szCs w:val="32"/>
        </w:rPr>
        <w:t xml:space="preserve">    </w:t>
      </w:r>
      <w:r w:rsidRPr="00DE32E8">
        <w:rPr>
          <w:rFonts w:eastAsia="方正仿宋简体"/>
          <w:sz w:val="32"/>
          <w:szCs w:val="32"/>
        </w:rPr>
        <w:t>月</w:t>
      </w:r>
      <w:r w:rsidRPr="00DE32E8">
        <w:rPr>
          <w:rFonts w:eastAsia="方正仿宋简体"/>
          <w:sz w:val="32"/>
          <w:szCs w:val="32"/>
        </w:rPr>
        <w:t xml:space="preserve">     </w:t>
      </w:r>
      <w:r w:rsidRPr="00DE32E8">
        <w:rPr>
          <w:rFonts w:eastAsia="方正仿宋简体"/>
          <w:sz w:val="32"/>
          <w:szCs w:val="32"/>
        </w:rPr>
        <w:t>日</w:t>
      </w:r>
    </w:p>
    <w:sectPr w:rsidR="00775F69" w:rsidRPr="00775F69" w:rsidSect="00AC6495">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7A4" w:rsidRDefault="00EF47A4" w:rsidP="00EF47A4">
      <w:r>
        <w:separator/>
      </w:r>
    </w:p>
  </w:endnote>
  <w:endnote w:type="continuationSeparator" w:id="0">
    <w:p w:rsidR="00EF47A4" w:rsidRDefault="00EF47A4" w:rsidP="00EF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A4" w:rsidRDefault="00EF47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194833"/>
      <w:docPartObj>
        <w:docPartGallery w:val="Page Numbers (Bottom of Page)"/>
        <w:docPartUnique/>
      </w:docPartObj>
    </w:sdtPr>
    <w:sdtEndPr/>
    <w:sdtContent>
      <w:p w:rsidR="00A73E06" w:rsidRDefault="00A73E06">
        <w:pPr>
          <w:pStyle w:val="a4"/>
          <w:jc w:val="center"/>
        </w:pPr>
        <w:r>
          <w:fldChar w:fldCharType="begin"/>
        </w:r>
        <w:r>
          <w:instrText>PAGE   \* MERGEFORMAT</w:instrText>
        </w:r>
        <w:r>
          <w:fldChar w:fldCharType="separate"/>
        </w:r>
        <w:r w:rsidR="00CC3F3F" w:rsidRPr="00CC3F3F">
          <w:rPr>
            <w:noProof/>
            <w:lang w:val="zh-CN"/>
          </w:rPr>
          <w:t>16</w:t>
        </w:r>
        <w:r>
          <w:fldChar w:fldCharType="end"/>
        </w:r>
      </w:p>
    </w:sdtContent>
  </w:sdt>
  <w:p w:rsidR="00EF47A4" w:rsidRDefault="00EF47A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A4" w:rsidRDefault="00EF47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7A4" w:rsidRDefault="00EF47A4" w:rsidP="00EF47A4">
      <w:r>
        <w:separator/>
      </w:r>
    </w:p>
  </w:footnote>
  <w:footnote w:type="continuationSeparator" w:id="0">
    <w:p w:rsidR="00EF47A4" w:rsidRDefault="00EF47A4" w:rsidP="00EF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A4" w:rsidRDefault="00EF47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A4" w:rsidRPr="00EF47A4" w:rsidRDefault="00EF47A4" w:rsidP="00EF47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A4" w:rsidRDefault="00EF47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91"/>
    <w:rsid w:val="0025268B"/>
    <w:rsid w:val="00487917"/>
    <w:rsid w:val="0053084F"/>
    <w:rsid w:val="005E3166"/>
    <w:rsid w:val="006A4467"/>
    <w:rsid w:val="006E3895"/>
    <w:rsid w:val="00775F69"/>
    <w:rsid w:val="008204E1"/>
    <w:rsid w:val="008B429B"/>
    <w:rsid w:val="009471B3"/>
    <w:rsid w:val="00A366A6"/>
    <w:rsid w:val="00A73E06"/>
    <w:rsid w:val="00AC6495"/>
    <w:rsid w:val="00C66C91"/>
    <w:rsid w:val="00C81E30"/>
    <w:rsid w:val="00CC3F3F"/>
    <w:rsid w:val="00DE32E8"/>
    <w:rsid w:val="00ED1B9B"/>
    <w:rsid w:val="00EF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99ED015A-2076-4EC5-B9BB-36818038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C91"/>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7A4"/>
    <w:rPr>
      <w:rFonts w:eastAsia="宋体"/>
      <w:sz w:val="18"/>
      <w:szCs w:val="18"/>
    </w:rPr>
  </w:style>
  <w:style w:type="paragraph" w:styleId="a4">
    <w:name w:val="footer"/>
    <w:basedOn w:val="a"/>
    <w:link w:val="Char0"/>
    <w:uiPriority w:val="99"/>
    <w:unhideWhenUsed/>
    <w:rsid w:val="00EF47A4"/>
    <w:pPr>
      <w:tabs>
        <w:tab w:val="center" w:pos="4153"/>
        <w:tab w:val="right" w:pos="8306"/>
      </w:tabs>
      <w:snapToGrid w:val="0"/>
      <w:jc w:val="left"/>
    </w:pPr>
    <w:rPr>
      <w:sz w:val="18"/>
      <w:szCs w:val="18"/>
    </w:rPr>
  </w:style>
  <w:style w:type="character" w:customStyle="1" w:styleId="Char0">
    <w:name w:val="页脚 Char"/>
    <w:basedOn w:val="a0"/>
    <w:link w:val="a4"/>
    <w:uiPriority w:val="99"/>
    <w:rsid w:val="00EF47A4"/>
    <w:rPr>
      <w:rFonts w:eastAsia="宋体"/>
      <w:sz w:val="18"/>
      <w:szCs w:val="18"/>
    </w:rPr>
  </w:style>
  <w:style w:type="table" w:styleId="a5">
    <w:name w:val="Table Grid"/>
    <w:basedOn w:val="a1"/>
    <w:uiPriority w:val="59"/>
    <w:rsid w:val="00775F69"/>
    <w:pPr>
      <w:spacing w:line="240" w:lineRule="auto"/>
      <w:ind w:firstLineChars="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22</cp:revision>
  <dcterms:created xsi:type="dcterms:W3CDTF">2020-02-21T02:58:00Z</dcterms:created>
  <dcterms:modified xsi:type="dcterms:W3CDTF">2020-02-28T09:47:00Z</dcterms:modified>
</cp:coreProperties>
</file>