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B33A" w14:textId="77777777" w:rsidR="009806FC" w:rsidRPr="001427F8" w:rsidRDefault="009806FC" w:rsidP="009806FC">
      <w:pPr>
        <w:spacing w:line="520" w:lineRule="exact"/>
        <w:jc w:val="left"/>
        <w:rPr>
          <w:rFonts w:ascii="Times New Roman" w:eastAsia="黑体" w:hAnsi="Times New Roman" w:cs="Times New Roman"/>
          <w:bCs/>
          <w:sz w:val="32"/>
          <w:szCs w:val="32"/>
        </w:rPr>
      </w:pPr>
      <w:bookmarkStart w:id="0" w:name="_GoBack"/>
      <w:bookmarkEnd w:id="0"/>
      <w:r w:rsidRPr="001427F8">
        <w:rPr>
          <w:rFonts w:ascii="Times New Roman" w:eastAsia="黑体" w:hAnsi="Times New Roman" w:cs="Times New Roman"/>
          <w:bCs/>
          <w:sz w:val="32"/>
          <w:szCs w:val="32"/>
        </w:rPr>
        <w:t>附件</w:t>
      </w:r>
    </w:p>
    <w:p w14:paraId="184F7524" w14:textId="77777777" w:rsidR="009806FC" w:rsidRPr="003D72B7" w:rsidRDefault="009806FC" w:rsidP="009806FC">
      <w:pPr>
        <w:spacing w:line="520" w:lineRule="exact"/>
        <w:jc w:val="center"/>
        <w:rPr>
          <w:rFonts w:ascii="Times New Roman" w:hAnsi="Times New Roman" w:cs="Times New Roman"/>
          <w:b/>
          <w:sz w:val="44"/>
          <w:szCs w:val="44"/>
        </w:rPr>
      </w:pPr>
    </w:p>
    <w:p w14:paraId="3B4D9AFA" w14:textId="77777777" w:rsidR="009806FC" w:rsidRPr="001427F8" w:rsidRDefault="009806FC" w:rsidP="009806FC">
      <w:pPr>
        <w:spacing w:line="520" w:lineRule="exact"/>
        <w:jc w:val="center"/>
        <w:rPr>
          <w:rFonts w:ascii="Times New Roman" w:eastAsia="宋体" w:hAnsi="Times New Roman" w:cs="Times New Roman"/>
          <w:b/>
          <w:sz w:val="44"/>
          <w:szCs w:val="44"/>
        </w:rPr>
      </w:pPr>
      <w:r w:rsidRPr="001427F8">
        <w:rPr>
          <w:rFonts w:ascii="Times New Roman" w:eastAsia="宋体" w:hAnsi="Times New Roman" w:cs="Times New Roman"/>
          <w:b/>
          <w:sz w:val="44"/>
          <w:szCs w:val="44"/>
        </w:rPr>
        <w:t>大连商品交易所铁矿石期货期权合约</w:t>
      </w:r>
    </w:p>
    <w:p w14:paraId="2B3F4BCD" w14:textId="77777777" w:rsidR="009806FC" w:rsidRPr="001427F8" w:rsidRDefault="009806FC" w:rsidP="009806FC">
      <w:pPr>
        <w:spacing w:line="520" w:lineRule="exact"/>
        <w:jc w:val="center"/>
        <w:rPr>
          <w:rFonts w:ascii="Times New Roman" w:eastAsia="宋体" w:hAnsi="Times New Roman" w:cs="Times New Roman"/>
          <w:b/>
          <w:sz w:val="44"/>
          <w:szCs w:val="44"/>
        </w:rPr>
      </w:pPr>
      <w:r w:rsidRPr="001427F8">
        <w:rPr>
          <w:rFonts w:ascii="Times New Roman" w:eastAsia="宋体" w:hAnsi="Times New Roman" w:cs="Times New Roman"/>
          <w:b/>
          <w:sz w:val="44"/>
          <w:szCs w:val="44"/>
        </w:rPr>
        <w:t>（征求意见稿）及起草说明</w:t>
      </w:r>
    </w:p>
    <w:p w14:paraId="155C1F3B" w14:textId="0F2C5F4D" w:rsidR="009806FC" w:rsidRPr="001427F8" w:rsidRDefault="009806FC" w:rsidP="00AD79AD">
      <w:pPr>
        <w:spacing w:line="580" w:lineRule="exact"/>
        <w:rPr>
          <w:rFonts w:ascii="Times New Roman" w:eastAsia="仿宋_GB2312" w:hAnsi="Times New Roman" w:cs="Times New Roman"/>
          <w:sz w:val="32"/>
          <w:szCs w:val="32"/>
        </w:rPr>
      </w:pPr>
    </w:p>
    <w:p w14:paraId="0A26C9A4" w14:textId="77777777" w:rsidR="009806FC" w:rsidRPr="001427F8" w:rsidRDefault="009806FC" w:rsidP="009806FC">
      <w:pPr>
        <w:spacing w:line="580" w:lineRule="exact"/>
        <w:ind w:firstLineChars="200" w:firstLine="640"/>
        <w:rPr>
          <w:rFonts w:ascii="Times New Roman" w:eastAsia="仿宋_GB2312" w:hAnsi="Times New Roman" w:cs="Times New Roman"/>
          <w:sz w:val="32"/>
          <w:szCs w:val="32"/>
        </w:rPr>
      </w:pPr>
      <w:r w:rsidRPr="001427F8">
        <w:rPr>
          <w:rFonts w:ascii="Times New Roman" w:eastAsia="仿宋_GB2312" w:hAnsi="Times New Roman" w:cs="Times New Roman"/>
          <w:sz w:val="32"/>
          <w:szCs w:val="32"/>
        </w:rPr>
        <w:t>为规范期权交易行为，保护期权交易当事人的合法权益和社会公众利益，促进市场功能发挥，根据《期货交易管理条例》和《大连商品交易所交易规则》，大连商品交易所（以下简称</w:t>
      </w:r>
      <w:r w:rsidRPr="001427F8">
        <w:rPr>
          <w:rFonts w:ascii="Times New Roman" w:eastAsia="仿宋_GB2312" w:hAnsi="Times New Roman" w:cs="Times New Roman"/>
          <w:sz w:val="32"/>
          <w:szCs w:val="32"/>
        </w:rPr>
        <w:t>“</w:t>
      </w:r>
      <w:r w:rsidRPr="001427F8">
        <w:rPr>
          <w:rFonts w:ascii="Times New Roman" w:eastAsia="仿宋_GB2312" w:hAnsi="Times New Roman" w:cs="Times New Roman"/>
          <w:sz w:val="32"/>
          <w:szCs w:val="32"/>
        </w:rPr>
        <w:t>我所</w:t>
      </w:r>
      <w:r w:rsidRPr="001427F8">
        <w:rPr>
          <w:rFonts w:ascii="Times New Roman" w:eastAsia="仿宋_GB2312" w:hAnsi="Times New Roman" w:cs="Times New Roman"/>
          <w:sz w:val="32"/>
          <w:szCs w:val="32"/>
        </w:rPr>
        <w:t>”</w:t>
      </w:r>
      <w:r w:rsidRPr="001427F8">
        <w:rPr>
          <w:rFonts w:ascii="Times New Roman" w:eastAsia="仿宋_GB2312" w:hAnsi="Times New Roman" w:cs="Times New Roman"/>
          <w:sz w:val="32"/>
          <w:szCs w:val="32"/>
        </w:rPr>
        <w:t>）制定了《大连商品交易所铁矿石期货期权合约（征求意见稿）》（以下简称《铁矿石期权合约》）。</w:t>
      </w:r>
    </w:p>
    <w:p w14:paraId="0D125CB1" w14:textId="2F15EA90" w:rsidR="009806FC" w:rsidRPr="001427F8" w:rsidRDefault="009806FC" w:rsidP="009806FC">
      <w:pPr>
        <w:spacing w:line="580" w:lineRule="exact"/>
        <w:ind w:firstLineChars="200" w:firstLine="640"/>
        <w:rPr>
          <w:rFonts w:ascii="Times New Roman" w:eastAsia="仿宋_GB2312" w:hAnsi="Times New Roman" w:cs="Times New Roman"/>
          <w:sz w:val="32"/>
          <w:szCs w:val="32"/>
        </w:rPr>
      </w:pPr>
      <w:r w:rsidRPr="001427F8">
        <w:rPr>
          <w:rFonts w:ascii="Times New Roman" w:eastAsia="仿宋_GB2312" w:hAnsi="Times New Roman" w:cs="Times New Roman"/>
          <w:sz w:val="32"/>
          <w:szCs w:val="32"/>
        </w:rPr>
        <w:t>合约设计过程中，我所主要遵循稳健性、可操作性和一致性原则。按照</w:t>
      </w:r>
      <w:r w:rsidR="00AD79AD" w:rsidRPr="001427F8">
        <w:rPr>
          <w:rFonts w:ascii="Times New Roman" w:eastAsia="仿宋_GB2312" w:hAnsi="Times New Roman" w:cs="Times New Roman"/>
          <w:sz w:val="32"/>
          <w:szCs w:val="32"/>
        </w:rPr>
        <w:t>稳健性原则，在合约设计时兼顾市场流动性，同时注重风险防</w:t>
      </w:r>
      <w:r w:rsidRPr="001427F8">
        <w:rPr>
          <w:rFonts w:ascii="Times New Roman" w:eastAsia="仿宋_GB2312" w:hAnsi="Times New Roman" w:cs="Times New Roman"/>
          <w:sz w:val="32"/>
          <w:szCs w:val="32"/>
        </w:rPr>
        <w:t>控；</w:t>
      </w:r>
      <w:r w:rsidR="0065473E" w:rsidRPr="001427F8">
        <w:rPr>
          <w:rFonts w:ascii="Times New Roman" w:eastAsia="仿宋_GB2312" w:hAnsi="Times New Roman" w:cs="Times New Roman"/>
          <w:sz w:val="32"/>
          <w:szCs w:val="32"/>
        </w:rPr>
        <w:t>按照</w:t>
      </w:r>
      <w:r w:rsidRPr="001427F8">
        <w:rPr>
          <w:rFonts w:ascii="Times New Roman" w:eastAsia="仿宋_GB2312" w:hAnsi="Times New Roman" w:cs="Times New Roman"/>
          <w:sz w:val="32"/>
          <w:szCs w:val="32"/>
        </w:rPr>
        <w:t>可操作性原则，合约设计尽量简便、易懂，便于期货公司及客户具体操作；按照一致性原则，期货期权是基于标的期货衍生出的工具，在很多业务上有可相互借鉴之处，在充分反映期权特性的基础上，部分合约参数设计尽量贴近现有规则，便于市场理解。我所根据上述三个原则，同时结合市场实际情况，完成了《铁矿石期权合约》设计。</w:t>
      </w:r>
    </w:p>
    <w:p w14:paraId="147AAA0D" w14:textId="77777777" w:rsidR="009806FC" w:rsidRPr="001427F8" w:rsidRDefault="009806FC" w:rsidP="009806FC">
      <w:pPr>
        <w:spacing w:line="520" w:lineRule="exact"/>
        <w:ind w:firstLineChars="200" w:firstLine="640"/>
        <w:rPr>
          <w:rFonts w:ascii="Times New Roman" w:eastAsia="黑体" w:hAnsi="Times New Roman" w:cs="Times New Roman"/>
          <w:sz w:val="32"/>
          <w:szCs w:val="32"/>
        </w:rPr>
      </w:pPr>
      <w:r w:rsidRPr="001427F8">
        <w:rPr>
          <w:rFonts w:ascii="Times New Roman" w:eastAsia="黑体" w:hAnsi="Times New Roman" w:cs="Times New Roman"/>
          <w:sz w:val="32"/>
          <w:szCs w:val="32"/>
        </w:rPr>
        <w:t>一、铁矿石期权合约（征求意见稿）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6117"/>
      </w:tblGrid>
      <w:tr w:rsidR="009806FC" w:rsidRPr="001427F8" w14:paraId="4118CC0B"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0DA6D98"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合约标的物</w:t>
            </w:r>
          </w:p>
        </w:tc>
        <w:tc>
          <w:tcPr>
            <w:tcW w:w="6287" w:type="dxa"/>
            <w:tcBorders>
              <w:top w:val="single" w:sz="4" w:space="0" w:color="auto"/>
              <w:left w:val="single" w:sz="4" w:space="0" w:color="auto"/>
              <w:bottom w:val="single" w:sz="4" w:space="0" w:color="auto"/>
              <w:right w:val="single" w:sz="4" w:space="0" w:color="auto"/>
            </w:tcBorders>
            <w:hideMark/>
          </w:tcPr>
          <w:p w14:paraId="16AB34E4"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铁矿石期货合约</w:t>
            </w:r>
          </w:p>
        </w:tc>
      </w:tr>
      <w:tr w:rsidR="009806FC" w:rsidRPr="001427F8" w14:paraId="6E80B18E"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F58AB31"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合约类型</w:t>
            </w:r>
          </w:p>
        </w:tc>
        <w:tc>
          <w:tcPr>
            <w:tcW w:w="6287" w:type="dxa"/>
            <w:tcBorders>
              <w:top w:val="single" w:sz="4" w:space="0" w:color="auto"/>
              <w:left w:val="single" w:sz="4" w:space="0" w:color="auto"/>
              <w:bottom w:val="single" w:sz="4" w:space="0" w:color="auto"/>
              <w:right w:val="single" w:sz="4" w:space="0" w:color="auto"/>
            </w:tcBorders>
            <w:hideMark/>
          </w:tcPr>
          <w:p w14:paraId="37AC77E7"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看涨期权、看跌期权</w:t>
            </w:r>
          </w:p>
        </w:tc>
      </w:tr>
      <w:tr w:rsidR="009806FC" w:rsidRPr="001427F8" w14:paraId="437F05E3"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289037"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交易单位</w:t>
            </w:r>
          </w:p>
        </w:tc>
        <w:tc>
          <w:tcPr>
            <w:tcW w:w="6287" w:type="dxa"/>
            <w:tcBorders>
              <w:top w:val="single" w:sz="4" w:space="0" w:color="auto"/>
              <w:left w:val="single" w:sz="4" w:space="0" w:color="auto"/>
              <w:bottom w:val="single" w:sz="4" w:space="0" w:color="auto"/>
              <w:right w:val="single" w:sz="4" w:space="0" w:color="auto"/>
            </w:tcBorders>
            <w:hideMark/>
          </w:tcPr>
          <w:p w14:paraId="61318317"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1</w:t>
            </w:r>
            <w:r w:rsidRPr="001427F8">
              <w:rPr>
                <w:rFonts w:ascii="Times New Roman" w:eastAsia="仿宋_GB2312" w:hAnsi="Times New Roman" w:cs="Times New Roman"/>
                <w:sz w:val="30"/>
                <w:szCs w:val="30"/>
              </w:rPr>
              <w:t>手</w:t>
            </w:r>
            <w:r w:rsidRPr="001427F8">
              <w:rPr>
                <w:rFonts w:ascii="Times New Roman" w:eastAsia="仿宋_GB2312" w:hAnsi="Times New Roman" w:cs="Times New Roman"/>
                <w:sz w:val="30"/>
                <w:szCs w:val="30"/>
              </w:rPr>
              <w:t>(100</w:t>
            </w:r>
            <w:r w:rsidRPr="001427F8">
              <w:rPr>
                <w:rFonts w:ascii="Times New Roman" w:eastAsia="仿宋_GB2312" w:hAnsi="Times New Roman" w:cs="Times New Roman"/>
                <w:sz w:val="30"/>
                <w:szCs w:val="30"/>
              </w:rPr>
              <w:t>吨</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铁矿石期货合约</w:t>
            </w:r>
          </w:p>
        </w:tc>
      </w:tr>
      <w:tr w:rsidR="009806FC" w:rsidRPr="001427F8" w14:paraId="5A61C975"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B11AAF4"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报价单位</w:t>
            </w:r>
          </w:p>
        </w:tc>
        <w:tc>
          <w:tcPr>
            <w:tcW w:w="6287" w:type="dxa"/>
            <w:tcBorders>
              <w:top w:val="single" w:sz="4" w:space="0" w:color="auto"/>
              <w:left w:val="single" w:sz="4" w:space="0" w:color="auto"/>
              <w:bottom w:val="single" w:sz="4" w:space="0" w:color="auto"/>
              <w:right w:val="single" w:sz="4" w:space="0" w:color="auto"/>
            </w:tcBorders>
            <w:hideMark/>
          </w:tcPr>
          <w:p w14:paraId="6FD85C82"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元（人民币）</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r w:rsidRPr="001427F8">
              <w:rPr>
                <w:rFonts w:ascii="Times New Roman" w:eastAsia="仿宋_GB2312" w:hAnsi="Times New Roman" w:cs="Times New Roman"/>
                <w:sz w:val="30"/>
                <w:szCs w:val="30"/>
              </w:rPr>
              <w:t xml:space="preserve"> </w:t>
            </w:r>
          </w:p>
        </w:tc>
      </w:tr>
      <w:tr w:rsidR="009806FC" w:rsidRPr="001427F8" w14:paraId="4597C9AF"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47A6C6F"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lastRenderedPageBreak/>
              <w:t>最小变动价位</w:t>
            </w:r>
          </w:p>
        </w:tc>
        <w:tc>
          <w:tcPr>
            <w:tcW w:w="6287" w:type="dxa"/>
            <w:tcBorders>
              <w:top w:val="single" w:sz="4" w:space="0" w:color="auto"/>
              <w:left w:val="single" w:sz="4" w:space="0" w:color="auto"/>
              <w:bottom w:val="single" w:sz="4" w:space="0" w:color="auto"/>
              <w:right w:val="single" w:sz="4" w:space="0" w:color="auto"/>
            </w:tcBorders>
            <w:hideMark/>
          </w:tcPr>
          <w:p w14:paraId="179EE3D9"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0.1</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p>
        </w:tc>
      </w:tr>
      <w:tr w:rsidR="009806FC" w:rsidRPr="001427F8" w14:paraId="6E24A797"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B210DD9"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涨跌停板幅度</w:t>
            </w:r>
          </w:p>
        </w:tc>
        <w:tc>
          <w:tcPr>
            <w:tcW w:w="6287" w:type="dxa"/>
            <w:tcBorders>
              <w:top w:val="single" w:sz="4" w:space="0" w:color="auto"/>
              <w:left w:val="single" w:sz="4" w:space="0" w:color="auto"/>
              <w:bottom w:val="single" w:sz="4" w:space="0" w:color="auto"/>
              <w:right w:val="single" w:sz="4" w:space="0" w:color="auto"/>
            </w:tcBorders>
            <w:hideMark/>
          </w:tcPr>
          <w:p w14:paraId="6E1D1E6A"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与铁矿石期货合约涨跌停板幅度相同</w:t>
            </w:r>
          </w:p>
        </w:tc>
      </w:tr>
      <w:tr w:rsidR="009806FC" w:rsidRPr="001427F8" w14:paraId="6C3C274B"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F3E3908"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合约月份</w:t>
            </w:r>
          </w:p>
        </w:tc>
        <w:tc>
          <w:tcPr>
            <w:tcW w:w="6287" w:type="dxa"/>
            <w:tcBorders>
              <w:top w:val="single" w:sz="4" w:space="0" w:color="auto"/>
              <w:left w:val="single" w:sz="4" w:space="0" w:color="auto"/>
              <w:bottom w:val="single" w:sz="4" w:space="0" w:color="auto"/>
              <w:right w:val="single" w:sz="4" w:space="0" w:color="auto"/>
            </w:tcBorders>
            <w:hideMark/>
          </w:tcPr>
          <w:p w14:paraId="611E8E0B"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1</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2</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3</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4</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5</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6</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7</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8</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9</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10</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11</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12</w:t>
            </w:r>
            <w:r w:rsidRPr="001427F8">
              <w:rPr>
                <w:rFonts w:ascii="Times New Roman" w:eastAsia="仿宋_GB2312" w:hAnsi="Times New Roman" w:cs="Times New Roman"/>
                <w:sz w:val="30"/>
                <w:szCs w:val="30"/>
              </w:rPr>
              <w:t>月</w:t>
            </w:r>
          </w:p>
        </w:tc>
      </w:tr>
      <w:tr w:rsidR="009806FC" w:rsidRPr="001427F8" w14:paraId="6C42B7E5"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BC4648"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交易时间</w:t>
            </w:r>
          </w:p>
        </w:tc>
        <w:tc>
          <w:tcPr>
            <w:tcW w:w="6287" w:type="dxa"/>
            <w:tcBorders>
              <w:top w:val="single" w:sz="4" w:space="0" w:color="auto"/>
              <w:left w:val="single" w:sz="4" w:space="0" w:color="auto"/>
              <w:bottom w:val="single" w:sz="4" w:space="0" w:color="auto"/>
              <w:right w:val="single" w:sz="4" w:space="0" w:color="auto"/>
            </w:tcBorders>
            <w:hideMark/>
          </w:tcPr>
          <w:p w14:paraId="03E11080"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每周一至周五上午</w:t>
            </w:r>
            <w:r w:rsidRPr="001427F8">
              <w:rPr>
                <w:rFonts w:ascii="Times New Roman" w:eastAsia="仿宋_GB2312" w:hAnsi="Times New Roman" w:cs="Times New Roman"/>
                <w:sz w:val="30"/>
                <w:szCs w:val="30"/>
              </w:rPr>
              <w:t>9:00</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11:30</w:t>
            </w:r>
            <w:r w:rsidRPr="001427F8">
              <w:rPr>
                <w:rFonts w:ascii="Times New Roman" w:eastAsia="仿宋_GB2312" w:hAnsi="Times New Roman" w:cs="Times New Roman"/>
                <w:sz w:val="30"/>
                <w:szCs w:val="30"/>
              </w:rPr>
              <w:t>，下午</w:t>
            </w:r>
            <w:r w:rsidRPr="001427F8">
              <w:rPr>
                <w:rFonts w:ascii="Times New Roman" w:eastAsia="仿宋_GB2312" w:hAnsi="Times New Roman" w:cs="Times New Roman"/>
                <w:sz w:val="30"/>
                <w:szCs w:val="30"/>
              </w:rPr>
              <w:t>13:30</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15:00</w:t>
            </w:r>
            <w:r w:rsidRPr="001427F8">
              <w:rPr>
                <w:rFonts w:ascii="Times New Roman" w:eastAsia="仿宋_GB2312" w:hAnsi="Times New Roman" w:cs="Times New Roman"/>
                <w:sz w:val="30"/>
                <w:szCs w:val="30"/>
              </w:rPr>
              <w:t>，以及交易所规定的其他时间</w:t>
            </w:r>
          </w:p>
        </w:tc>
      </w:tr>
      <w:tr w:rsidR="009806FC" w:rsidRPr="001427F8" w14:paraId="7C23A55E"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695AB46"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最后交易日</w:t>
            </w:r>
          </w:p>
        </w:tc>
        <w:tc>
          <w:tcPr>
            <w:tcW w:w="6287" w:type="dxa"/>
            <w:tcBorders>
              <w:top w:val="single" w:sz="4" w:space="0" w:color="auto"/>
              <w:left w:val="single" w:sz="4" w:space="0" w:color="auto"/>
              <w:bottom w:val="single" w:sz="4" w:space="0" w:color="auto"/>
              <w:right w:val="single" w:sz="4" w:space="0" w:color="auto"/>
            </w:tcBorders>
            <w:hideMark/>
          </w:tcPr>
          <w:p w14:paraId="46D8899A"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标的期货合约交割月份前一个月的第</w:t>
            </w:r>
            <w:r w:rsidRPr="001427F8">
              <w:rPr>
                <w:rFonts w:ascii="Times New Roman" w:eastAsia="仿宋_GB2312" w:hAnsi="Times New Roman" w:cs="Times New Roman"/>
                <w:sz w:val="30"/>
                <w:szCs w:val="30"/>
              </w:rPr>
              <w:t>5</w:t>
            </w:r>
            <w:r w:rsidRPr="001427F8">
              <w:rPr>
                <w:rFonts w:ascii="Times New Roman" w:eastAsia="仿宋_GB2312" w:hAnsi="Times New Roman" w:cs="Times New Roman"/>
                <w:sz w:val="30"/>
                <w:szCs w:val="30"/>
              </w:rPr>
              <w:t>个交易日</w:t>
            </w:r>
          </w:p>
        </w:tc>
      </w:tr>
      <w:tr w:rsidR="009806FC" w:rsidRPr="001427F8" w14:paraId="1FDE8D2E"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E8C11D6"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到期日</w:t>
            </w:r>
          </w:p>
        </w:tc>
        <w:tc>
          <w:tcPr>
            <w:tcW w:w="6287" w:type="dxa"/>
            <w:tcBorders>
              <w:top w:val="single" w:sz="4" w:space="0" w:color="auto"/>
              <w:left w:val="single" w:sz="4" w:space="0" w:color="auto"/>
              <w:bottom w:val="single" w:sz="4" w:space="0" w:color="auto"/>
              <w:right w:val="single" w:sz="4" w:space="0" w:color="auto"/>
            </w:tcBorders>
            <w:hideMark/>
          </w:tcPr>
          <w:p w14:paraId="5E954756"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同最后交易日</w:t>
            </w:r>
          </w:p>
        </w:tc>
      </w:tr>
      <w:tr w:rsidR="009806FC" w:rsidRPr="001427F8" w14:paraId="556A99CC" w14:textId="77777777" w:rsidTr="007F0E30">
        <w:trPr>
          <w:trHeight w:val="2530"/>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7DAD682"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行权价格</w:t>
            </w:r>
          </w:p>
        </w:tc>
        <w:tc>
          <w:tcPr>
            <w:tcW w:w="6287" w:type="dxa"/>
            <w:tcBorders>
              <w:top w:val="single" w:sz="4" w:space="0" w:color="auto"/>
              <w:left w:val="single" w:sz="4" w:space="0" w:color="auto"/>
              <w:bottom w:val="single" w:sz="4" w:space="0" w:color="auto"/>
              <w:right w:val="single" w:sz="4" w:space="0" w:color="auto"/>
            </w:tcBorders>
            <w:hideMark/>
          </w:tcPr>
          <w:p w14:paraId="616406ED" w14:textId="1EA219D3"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行权价格覆盖铁矿石期货合约上一交易日结算价上下浮动</w:t>
            </w:r>
            <w:r w:rsidRPr="001427F8">
              <w:rPr>
                <w:rFonts w:ascii="Times New Roman" w:eastAsia="仿宋_GB2312" w:hAnsi="Times New Roman" w:cs="Times New Roman"/>
                <w:sz w:val="30"/>
                <w:szCs w:val="30"/>
              </w:rPr>
              <w:t>1.5</w:t>
            </w:r>
            <w:r w:rsidRPr="001427F8">
              <w:rPr>
                <w:rFonts w:ascii="Times New Roman" w:eastAsia="仿宋_GB2312" w:hAnsi="Times New Roman" w:cs="Times New Roman"/>
                <w:sz w:val="30"/>
                <w:szCs w:val="30"/>
              </w:rPr>
              <w:t>倍当日涨跌停板幅度对应的价格范围。行权价格</w:t>
            </w:r>
            <w:r w:rsidRPr="001427F8">
              <w:rPr>
                <w:rFonts w:ascii="Times New Roman" w:eastAsia="仿宋_GB2312" w:hAnsi="Times New Roman" w:cs="Times New Roman"/>
                <w:sz w:val="30"/>
                <w:szCs w:val="30"/>
              </w:rPr>
              <w:t>≤300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吨，行权价格间距为</w:t>
            </w:r>
            <w:r w:rsidRPr="001427F8">
              <w:rPr>
                <w:rFonts w:ascii="Times New Roman" w:eastAsia="仿宋_GB2312" w:hAnsi="Times New Roman" w:cs="Times New Roman"/>
                <w:sz w:val="30"/>
                <w:szCs w:val="30"/>
              </w:rPr>
              <w:t>5</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r w:rsidR="00242841">
              <w:rPr>
                <w:rFonts w:ascii="Times New Roman" w:eastAsia="仿宋_GB2312" w:hAnsi="Times New Roman" w:cs="Times New Roman" w:hint="eastAsia"/>
                <w:sz w:val="30"/>
                <w:szCs w:val="30"/>
              </w:rPr>
              <w:t>；</w:t>
            </w:r>
            <w:r w:rsidRPr="001427F8">
              <w:rPr>
                <w:rFonts w:ascii="Times New Roman" w:eastAsia="仿宋_GB2312" w:hAnsi="Times New Roman" w:cs="Times New Roman"/>
                <w:sz w:val="30"/>
                <w:szCs w:val="30"/>
              </w:rPr>
              <w:t>300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m:oMath>
              <m:r>
                <m:rPr>
                  <m:sty m:val="p"/>
                </m:rPr>
                <w:rPr>
                  <w:rFonts w:ascii="Cambria Math" w:eastAsia="仿宋_GB2312" w:hAnsi="Cambria Math" w:cs="Times New Roman"/>
                  <w:sz w:val="30"/>
                  <w:szCs w:val="30"/>
                </w:rPr>
                <m:t>&lt;</m:t>
              </m:r>
            </m:oMath>
            <w:r w:rsidRPr="001427F8">
              <w:rPr>
                <w:rFonts w:ascii="Times New Roman" w:eastAsia="仿宋_GB2312" w:hAnsi="Times New Roman" w:cs="Times New Roman"/>
                <w:sz w:val="30"/>
                <w:szCs w:val="30"/>
              </w:rPr>
              <w:t>行权价格</w:t>
            </w:r>
            <w:r w:rsidRPr="001427F8">
              <w:rPr>
                <w:rFonts w:ascii="Times New Roman" w:eastAsia="仿宋_GB2312" w:hAnsi="Times New Roman" w:cs="Times New Roman"/>
                <w:sz w:val="30"/>
                <w:szCs w:val="30"/>
              </w:rPr>
              <w:t>≤1000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吨，行权价格间距为</w:t>
            </w:r>
            <w:r w:rsidRPr="001427F8">
              <w:rPr>
                <w:rFonts w:ascii="Times New Roman" w:eastAsia="仿宋_GB2312" w:hAnsi="Times New Roman" w:cs="Times New Roman"/>
                <w:sz w:val="30"/>
                <w:szCs w:val="30"/>
              </w:rPr>
              <w:t>10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r w:rsidR="00242841">
              <w:rPr>
                <w:rFonts w:ascii="Times New Roman" w:eastAsia="仿宋_GB2312" w:hAnsi="Times New Roman" w:cs="Times New Roman" w:hint="eastAsia"/>
                <w:sz w:val="30"/>
                <w:szCs w:val="30"/>
              </w:rPr>
              <w:t>；</w:t>
            </w:r>
            <w:r w:rsidRPr="001427F8">
              <w:rPr>
                <w:rFonts w:ascii="Times New Roman" w:eastAsia="仿宋_GB2312" w:hAnsi="Times New Roman" w:cs="Times New Roman"/>
                <w:sz w:val="30"/>
                <w:szCs w:val="30"/>
              </w:rPr>
              <w:t>行权价格＞</w:t>
            </w:r>
            <w:r w:rsidRPr="001427F8">
              <w:rPr>
                <w:rFonts w:ascii="Times New Roman" w:eastAsia="仿宋_GB2312" w:hAnsi="Times New Roman" w:cs="Times New Roman"/>
                <w:sz w:val="30"/>
                <w:szCs w:val="30"/>
              </w:rPr>
              <w:t>1000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r w:rsidR="00242841">
              <w:rPr>
                <w:rFonts w:ascii="Times New Roman" w:eastAsia="仿宋_GB2312" w:hAnsi="Times New Roman" w:cs="Times New Roman" w:hint="eastAsia"/>
                <w:sz w:val="30"/>
                <w:szCs w:val="30"/>
              </w:rPr>
              <w:t>，</w:t>
            </w:r>
            <w:r w:rsidRPr="001427F8">
              <w:rPr>
                <w:rFonts w:ascii="Times New Roman" w:eastAsia="仿宋_GB2312" w:hAnsi="Times New Roman" w:cs="Times New Roman"/>
                <w:sz w:val="30"/>
                <w:szCs w:val="30"/>
              </w:rPr>
              <w:t>行权价格间距为</w:t>
            </w:r>
            <w:r w:rsidRPr="001427F8">
              <w:rPr>
                <w:rFonts w:ascii="Times New Roman" w:eastAsia="仿宋_GB2312" w:hAnsi="Times New Roman" w:cs="Times New Roman"/>
                <w:sz w:val="30"/>
                <w:szCs w:val="30"/>
              </w:rPr>
              <w:t>20</w:t>
            </w:r>
            <w:r w:rsidRPr="001427F8">
              <w:rPr>
                <w:rFonts w:ascii="Times New Roman" w:eastAsia="仿宋_GB2312" w:hAnsi="Times New Roman" w:cs="Times New Roman"/>
                <w:sz w:val="30"/>
                <w:szCs w:val="30"/>
              </w:rPr>
              <w:t>元</w:t>
            </w:r>
            <w:r w:rsidRPr="001427F8">
              <w:rPr>
                <w:rFonts w:ascii="Times New Roman" w:eastAsia="仿宋_GB2312" w:hAnsi="Times New Roman" w:cs="Times New Roman"/>
                <w:sz w:val="30"/>
                <w:szCs w:val="30"/>
              </w:rPr>
              <w:t>/</w:t>
            </w:r>
            <w:r w:rsidRPr="001427F8">
              <w:rPr>
                <w:rFonts w:ascii="Times New Roman" w:eastAsia="仿宋_GB2312" w:hAnsi="Times New Roman" w:cs="Times New Roman"/>
                <w:sz w:val="30"/>
                <w:szCs w:val="30"/>
              </w:rPr>
              <w:t>吨。</w:t>
            </w:r>
            <w:r w:rsidRPr="001427F8">
              <w:rPr>
                <w:rFonts w:ascii="Times New Roman" w:eastAsia="仿宋_GB2312" w:hAnsi="Times New Roman" w:cs="Times New Roman"/>
                <w:sz w:val="30"/>
                <w:szCs w:val="30"/>
              </w:rPr>
              <w:t xml:space="preserve"> </w:t>
            </w:r>
          </w:p>
        </w:tc>
      </w:tr>
      <w:tr w:rsidR="009806FC" w:rsidRPr="001427F8" w14:paraId="378B6CF3"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59B0FEE"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行权方式</w:t>
            </w:r>
          </w:p>
        </w:tc>
        <w:tc>
          <w:tcPr>
            <w:tcW w:w="6287" w:type="dxa"/>
            <w:tcBorders>
              <w:top w:val="single" w:sz="4" w:space="0" w:color="auto"/>
              <w:left w:val="single" w:sz="4" w:space="0" w:color="auto"/>
              <w:bottom w:val="single" w:sz="4" w:space="0" w:color="auto"/>
              <w:right w:val="single" w:sz="4" w:space="0" w:color="auto"/>
            </w:tcBorders>
            <w:hideMark/>
          </w:tcPr>
          <w:p w14:paraId="58BF2215"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美式。买方可以在到期日之前任一交易日的交易时间，以及到期日</w:t>
            </w:r>
            <w:r w:rsidRPr="001427F8">
              <w:rPr>
                <w:rFonts w:ascii="Times New Roman" w:eastAsia="仿宋_GB2312" w:hAnsi="Times New Roman" w:cs="Times New Roman"/>
                <w:sz w:val="30"/>
                <w:szCs w:val="30"/>
              </w:rPr>
              <w:t>15:30</w:t>
            </w:r>
            <w:r w:rsidRPr="001427F8">
              <w:rPr>
                <w:rFonts w:ascii="Times New Roman" w:eastAsia="仿宋_GB2312" w:hAnsi="Times New Roman" w:cs="Times New Roman"/>
                <w:sz w:val="30"/>
                <w:szCs w:val="30"/>
              </w:rPr>
              <w:t>之前提出行权申请。</w:t>
            </w:r>
          </w:p>
        </w:tc>
      </w:tr>
      <w:tr w:rsidR="009806FC" w:rsidRPr="001427F8" w14:paraId="70753D8C"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ADF80A3"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交易代码</w:t>
            </w:r>
          </w:p>
        </w:tc>
        <w:tc>
          <w:tcPr>
            <w:tcW w:w="6287" w:type="dxa"/>
            <w:tcBorders>
              <w:top w:val="single" w:sz="4" w:space="0" w:color="auto"/>
              <w:left w:val="single" w:sz="4" w:space="0" w:color="auto"/>
              <w:bottom w:val="single" w:sz="4" w:space="0" w:color="auto"/>
              <w:right w:val="single" w:sz="4" w:space="0" w:color="auto"/>
            </w:tcBorders>
            <w:hideMark/>
          </w:tcPr>
          <w:p w14:paraId="6B56EFAA"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看涨期权：</w:t>
            </w:r>
            <w:r w:rsidRPr="001427F8">
              <w:rPr>
                <w:rFonts w:ascii="Times New Roman" w:eastAsia="仿宋_GB2312" w:hAnsi="Times New Roman" w:cs="Times New Roman"/>
                <w:sz w:val="30"/>
                <w:szCs w:val="30"/>
              </w:rPr>
              <w:t>I-</w:t>
            </w:r>
            <w:r w:rsidRPr="001427F8">
              <w:rPr>
                <w:rFonts w:ascii="Times New Roman" w:eastAsia="仿宋_GB2312" w:hAnsi="Times New Roman" w:cs="Times New Roman"/>
                <w:sz w:val="30"/>
                <w:szCs w:val="30"/>
              </w:rPr>
              <w:t>合约月份</w:t>
            </w:r>
            <w:r w:rsidRPr="001427F8">
              <w:rPr>
                <w:rFonts w:ascii="Times New Roman" w:eastAsia="仿宋_GB2312" w:hAnsi="Times New Roman" w:cs="Times New Roman"/>
                <w:sz w:val="30"/>
                <w:szCs w:val="30"/>
              </w:rPr>
              <w:t>-C-</w:t>
            </w:r>
            <w:r w:rsidRPr="001427F8">
              <w:rPr>
                <w:rFonts w:ascii="Times New Roman" w:eastAsia="仿宋_GB2312" w:hAnsi="Times New Roman" w:cs="Times New Roman"/>
                <w:sz w:val="30"/>
                <w:szCs w:val="30"/>
              </w:rPr>
              <w:t>行权价格</w:t>
            </w:r>
          </w:p>
          <w:p w14:paraId="01352FBE"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看跌期权：</w:t>
            </w:r>
            <w:r w:rsidRPr="001427F8">
              <w:rPr>
                <w:rFonts w:ascii="Times New Roman" w:eastAsia="仿宋_GB2312" w:hAnsi="Times New Roman" w:cs="Times New Roman"/>
                <w:sz w:val="30"/>
                <w:szCs w:val="30"/>
              </w:rPr>
              <w:t>I-</w:t>
            </w:r>
            <w:r w:rsidRPr="001427F8">
              <w:rPr>
                <w:rFonts w:ascii="Times New Roman" w:eastAsia="仿宋_GB2312" w:hAnsi="Times New Roman" w:cs="Times New Roman"/>
                <w:sz w:val="30"/>
                <w:szCs w:val="30"/>
              </w:rPr>
              <w:t>合约月份</w:t>
            </w:r>
            <w:r w:rsidRPr="001427F8">
              <w:rPr>
                <w:rFonts w:ascii="Times New Roman" w:eastAsia="仿宋_GB2312" w:hAnsi="Times New Roman" w:cs="Times New Roman"/>
                <w:sz w:val="30"/>
                <w:szCs w:val="30"/>
              </w:rPr>
              <w:t>-P-</w:t>
            </w:r>
            <w:r w:rsidRPr="001427F8">
              <w:rPr>
                <w:rFonts w:ascii="Times New Roman" w:eastAsia="仿宋_GB2312" w:hAnsi="Times New Roman" w:cs="Times New Roman"/>
                <w:sz w:val="30"/>
                <w:szCs w:val="30"/>
              </w:rPr>
              <w:t>行权价格</w:t>
            </w:r>
          </w:p>
        </w:tc>
      </w:tr>
      <w:tr w:rsidR="009806FC" w:rsidRPr="001427F8" w14:paraId="248DFFEA" w14:textId="77777777" w:rsidTr="007F0E30">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CC72689" w14:textId="77777777" w:rsidR="009806FC" w:rsidRPr="001427F8" w:rsidRDefault="009806FC" w:rsidP="007F0E30">
            <w:pPr>
              <w:adjustRightInd w:val="0"/>
              <w:spacing w:line="580" w:lineRule="exact"/>
              <w:jc w:val="center"/>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上市交易所</w:t>
            </w:r>
          </w:p>
        </w:tc>
        <w:tc>
          <w:tcPr>
            <w:tcW w:w="6287" w:type="dxa"/>
            <w:tcBorders>
              <w:top w:val="single" w:sz="4" w:space="0" w:color="auto"/>
              <w:left w:val="single" w:sz="4" w:space="0" w:color="auto"/>
              <w:bottom w:val="single" w:sz="4" w:space="0" w:color="auto"/>
              <w:right w:val="single" w:sz="4" w:space="0" w:color="auto"/>
            </w:tcBorders>
            <w:hideMark/>
          </w:tcPr>
          <w:p w14:paraId="5F1E32C1" w14:textId="77777777" w:rsidR="009806FC" w:rsidRPr="001427F8" w:rsidRDefault="009806FC" w:rsidP="007F0E30">
            <w:pPr>
              <w:adjustRightInd w:val="0"/>
              <w:spacing w:line="580" w:lineRule="exact"/>
              <w:rPr>
                <w:rFonts w:ascii="Times New Roman" w:eastAsia="仿宋_GB2312" w:hAnsi="Times New Roman" w:cs="Times New Roman"/>
                <w:sz w:val="30"/>
                <w:szCs w:val="30"/>
              </w:rPr>
            </w:pPr>
            <w:r w:rsidRPr="001427F8">
              <w:rPr>
                <w:rFonts w:ascii="Times New Roman" w:eastAsia="仿宋_GB2312" w:hAnsi="Times New Roman" w:cs="Times New Roman"/>
                <w:sz w:val="30"/>
                <w:szCs w:val="30"/>
              </w:rPr>
              <w:t>大连商品交易所</w:t>
            </w:r>
          </w:p>
        </w:tc>
      </w:tr>
    </w:tbl>
    <w:p w14:paraId="5F0F3229" w14:textId="77777777" w:rsidR="009806FC" w:rsidRPr="001427F8" w:rsidRDefault="009806FC" w:rsidP="00923C48">
      <w:pPr>
        <w:spacing w:line="520" w:lineRule="exact"/>
        <w:ind w:firstLineChars="200" w:firstLine="640"/>
        <w:rPr>
          <w:rFonts w:ascii="Times New Roman" w:eastAsia="黑体" w:hAnsi="Times New Roman" w:cs="Times New Roman"/>
          <w:sz w:val="32"/>
          <w:szCs w:val="32"/>
        </w:rPr>
      </w:pPr>
      <w:bookmarkStart w:id="1" w:name="_Toc13352"/>
      <w:bookmarkStart w:id="2" w:name="_Toc413404679"/>
      <w:bookmarkStart w:id="3" w:name="_Toc413336509"/>
      <w:bookmarkStart w:id="4" w:name="_Toc413336303"/>
      <w:bookmarkStart w:id="5" w:name="_Toc413336252"/>
      <w:r w:rsidRPr="001427F8">
        <w:rPr>
          <w:rFonts w:ascii="Times New Roman" w:eastAsia="黑体" w:hAnsi="Times New Roman" w:cs="Times New Roman"/>
          <w:sz w:val="32"/>
          <w:szCs w:val="32"/>
        </w:rPr>
        <w:t>二、铁矿石期权合约起草说明</w:t>
      </w:r>
      <w:bookmarkEnd w:id="1"/>
      <w:bookmarkEnd w:id="2"/>
      <w:bookmarkEnd w:id="3"/>
      <w:bookmarkEnd w:id="4"/>
      <w:bookmarkEnd w:id="5"/>
    </w:p>
    <w:p w14:paraId="650446B4" w14:textId="77777777" w:rsidR="009806FC" w:rsidRPr="001427F8" w:rsidRDefault="009806FC" w:rsidP="009806FC">
      <w:pPr>
        <w:spacing w:line="580" w:lineRule="exact"/>
        <w:ind w:firstLine="640"/>
        <w:rPr>
          <w:rFonts w:ascii="Times New Roman" w:eastAsia="楷体" w:hAnsi="Times New Roman" w:cs="Times New Roman"/>
          <w:b/>
          <w:bCs/>
          <w:sz w:val="32"/>
          <w:szCs w:val="32"/>
        </w:rPr>
      </w:pPr>
      <w:r w:rsidRPr="001427F8">
        <w:rPr>
          <w:rFonts w:ascii="Times New Roman" w:eastAsia="楷体" w:hAnsi="Times New Roman" w:cs="Times New Roman"/>
          <w:b/>
          <w:bCs/>
          <w:kern w:val="0"/>
          <w:sz w:val="32"/>
          <w:szCs w:val="32"/>
        </w:rPr>
        <w:t>（一）</w:t>
      </w:r>
      <w:r w:rsidRPr="001427F8">
        <w:rPr>
          <w:rFonts w:ascii="Times New Roman" w:eastAsia="楷体" w:hAnsi="Times New Roman" w:cs="Times New Roman"/>
          <w:b/>
          <w:bCs/>
          <w:sz w:val="32"/>
          <w:szCs w:val="32"/>
        </w:rPr>
        <w:t>合约标的</w:t>
      </w:r>
    </w:p>
    <w:p w14:paraId="7019523C"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铁矿石期权合约的标的物为铁矿石期货合约。与现货相比，期货标准化程度高，价格公开、透明、连续，更适于作</w:t>
      </w:r>
      <w:r w:rsidRPr="001427F8">
        <w:rPr>
          <w:rFonts w:ascii="Times New Roman" w:eastAsia="仿宋_GB2312" w:hAnsi="Times New Roman" w:cs="Times New Roman"/>
          <w:kern w:val="0"/>
          <w:sz w:val="32"/>
          <w:szCs w:val="32"/>
        </w:rPr>
        <w:lastRenderedPageBreak/>
        <w:t>为商品期权的标的物。</w:t>
      </w:r>
    </w:p>
    <w:p w14:paraId="1674C8C0"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（二）交易代码</w:t>
      </w:r>
    </w:p>
    <w:p w14:paraId="19463875"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合约代码采用看涨期权（标的期货合约交易代码</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合约月份</w:t>
      </w:r>
      <w:r w:rsidRPr="001427F8">
        <w:rPr>
          <w:rFonts w:ascii="Times New Roman" w:eastAsia="仿宋_GB2312" w:hAnsi="Times New Roman" w:cs="Times New Roman"/>
          <w:kern w:val="0"/>
          <w:sz w:val="32"/>
          <w:szCs w:val="32"/>
        </w:rPr>
        <w:t>-C-</w:t>
      </w:r>
      <w:r w:rsidRPr="001427F8">
        <w:rPr>
          <w:rFonts w:ascii="Times New Roman" w:eastAsia="仿宋_GB2312" w:hAnsi="Times New Roman" w:cs="Times New Roman"/>
          <w:kern w:val="0"/>
          <w:sz w:val="32"/>
          <w:szCs w:val="32"/>
        </w:rPr>
        <w:t>行权价格）、看跌期权（标的期货合约交易代码</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合约月份</w:t>
      </w:r>
      <w:r w:rsidRPr="001427F8">
        <w:rPr>
          <w:rFonts w:ascii="Times New Roman" w:eastAsia="仿宋_GB2312" w:hAnsi="Times New Roman" w:cs="Times New Roman"/>
          <w:kern w:val="0"/>
          <w:sz w:val="32"/>
          <w:szCs w:val="32"/>
        </w:rPr>
        <w:t>-P-</w:t>
      </w:r>
      <w:r w:rsidRPr="001427F8">
        <w:rPr>
          <w:rFonts w:ascii="Times New Roman" w:eastAsia="仿宋_GB2312" w:hAnsi="Times New Roman" w:cs="Times New Roman"/>
          <w:kern w:val="0"/>
          <w:sz w:val="32"/>
          <w:szCs w:val="32"/>
        </w:rPr>
        <w:t>行权价格）的格式。</w:t>
      </w:r>
      <w:r w:rsidRPr="001427F8">
        <w:rPr>
          <w:rFonts w:ascii="Times New Roman" w:eastAsia="仿宋_GB2312" w:hAnsi="Times New Roman" w:cs="Times New Roman"/>
          <w:kern w:val="0"/>
          <w:sz w:val="32"/>
          <w:szCs w:val="32"/>
        </w:rPr>
        <w:t>C</w:t>
      </w:r>
      <w:r w:rsidRPr="001427F8">
        <w:rPr>
          <w:rFonts w:ascii="Times New Roman" w:eastAsia="仿宋_GB2312" w:hAnsi="Times New Roman" w:cs="Times New Roman"/>
          <w:kern w:val="0"/>
          <w:sz w:val="32"/>
          <w:szCs w:val="32"/>
        </w:rPr>
        <w:t>和</w:t>
      </w:r>
      <w:r w:rsidRPr="001427F8">
        <w:rPr>
          <w:rFonts w:ascii="Times New Roman" w:eastAsia="仿宋_GB2312" w:hAnsi="Times New Roman" w:cs="Times New Roman"/>
          <w:kern w:val="0"/>
          <w:sz w:val="32"/>
          <w:szCs w:val="32"/>
        </w:rPr>
        <w:t>P</w:t>
      </w:r>
      <w:r w:rsidRPr="001427F8">
        <w:rPr>
          <w:rFonts w:ascii="Times New Roman" w:eastAsia="仿宋_GB2312" w:hAnsi="Times New Roman" w:cs="Times New Roman"/>
          <w:kern w:val="0"/>
          <w:sz w:val="32"/>
          <w:szCs w:val="32"/>
        </w:rPr>
        <w:t>分别代表看涨期权和看跌期权的合约类型代码。如</w:t>
      </w:r>
      <w:r w:rsidRPr="001427F8">
        <w:rPr>
          <w:rFonts w:ascii="Times New Roman" w:eastAsia="仿宋_GB2312" w:hAnsi="Times New Roman" w:cs="Times New Roman"/>
          <w:kern w:val="0"/>
          <w:sz w:val="32"/>
          <w:szCs w:val="32"/>
        </w:rPr>
        <w:t>I-2001-C-600</w:t>
      </w:r>
      <w:r w:rsidRPr="001427F8">
        <w:rPr>
          <w:rFonts w:ascii="Times New Roman" w:eastAsia="仿宋_GB2312" w:hAnsi="Times New Roman" w:cs="Times New Roman"/>
          <w:kern w:val="0"/>
          <w:sz w:val="32"/>
          <w:szCs w:val="32"/>
        </w:rPr>
        <w:t>，代表标的为</w:t>
      </w:r>
      <w:r w:rsidRPr="001427F8">
        <w:rPr>
          <w:rFonts w:ascii="Times New Roman" w:eastAsia="仿宋_GB2312" w:hAnsi="Times New Roman" w:cs="Times New Roman"/>
          <w:kern w:val="0"/>
          <w:sz w:val="32"/>
          <w:szCs w:val="32"/>
        </w:rPr>
        <w:t>2020</w:t>
      </w:r>
      <w:r w:rsidRPr="001427F8">
        <w:rPr>
          <w:rFonts w:ascii="Times New Roman" w:eastAsia="仿宋_GB2312" w:hAnsi="Times New Roman" w:cs="Times New Roman"/>
          <w:kern w:val="0"/>
          <w:sz w:val="32"/>
          <w:szCs w:val="32"/>
        </w:rPr>
        <w:t>年</w:t>
      </w:r>
      <w:r w:rsidRPr="001427F8">
        <w:rPr>
          <w:rFonts w:ascii="Times New Roman" w:eastAsia="仿宋_GB2312" w:hAnsi="Times New Roman" w:cs="Times New Roman"/>
          <w:kern w:val="0"/>
          <w:sz w:val="32"/>
          <w:szCs w:val="32"/>
        </w:rPr>
        <w:t>1</w:t>
      </w:r>
      <w:r w:rsidRPr="001427F8">
        <w:rPr>
          <w:rFonts w:ascii="Times New Roman" w:eastAsia="仿宋_GB2312" w:hAnsi="Times New Roman" w:cs="Times New Roman"/>
          <w:kern w:val="0"/>
          <w:sz w:val="32"/>
          <w:szCs w:val="32"/>
        </w:rPr>
        <w:t>月份交割的铁矿石期货，行权价格为</w:t>
      </w:r>
      <w:r w:rsidRPr="001427F8">
        <w:rPr>
          <w:rFonts w:ascii="Times New Roman" w:eastAsia="仿宋_GB2312" w:hAnsi="Times New Roman" w:cs="Times New Roman"/>
          <w:kern w:val="0"/>
          <w:sz w:val="32"/>
          <w:szCs w:val="32"/>
        </w:rPr>
        <w:t>600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吨的看涨期权。</w:t>
      </w:r>
    </w:p>
    <w:p w14:paraId="35F097A7"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（三）交易单位</w:t>
      </w:r>
    </w:p>
    <w:p w14:paraId="69F6AF84"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期权交易单位是指</w:t>
      </w:r>
      <w:r w:rsidRPr="001427F8">
        <w:rPr>
          <w:rFonts w:ascii="Times New Roman" w:eastAsia="仿宋_GB2312" w:hAnsi="Times New Roman" w:cs="Times New Roman"/>
          <w:kern w:val="0"/>
          <w:sz w:val="32"/>
          <w:szCs w:val="32"/>
        </w:rPr>
        <w:t>1</w:t>
      </w:r>
      <w:r w:rsidRPr="001427F8">
        <w:rPr>
          <w:rFonts w:ascii="Times New Roman" w:eastAsia="仿宋_GB2312" w:hAnsi="Times New Roman" w:cs="Times New Roman"/>
          <w:kern w:val="0"/>
          <w:sz w:val="32"/>
          <w:szCs w:val="32"/>
        </w:rPr>
        <w:t>手期权合约对应标的期货合约的数量，</w:t>
      </w:r>
      <w:r w:rsidRPr="001427F8">
        <w:rPr>
          <w:rFonts w:ascii="Times New Roman" w:eastAsia="仿宋_GB2312" w:hAnsi="Times New Roman" w:cs="Times New Roman"/>
          <w:kern w:val="0"/>
          <w:sz w:val="32"/>
          <w:szCs w:val="32"/>
        </w:rPr>
        <w:t>1</w:t>
      </w:r>
      <w:r w:rsidRPr="001427F8">
        <w:rPr>
          <w:rFonts w:ascii="Times New Roman" w:eastAsia="仿宋_GB2312" w:hAnsi="Times New Roman" w:cs="Times New Roman"/>
          <w:kern w:val="0"/>
          <w:sz w:val="32"/>
          <w:szCs w:val="32"/>
        </w:rPr>
        <w:t>手铁矿石期权对应</w:t>
      </w:r>
      <w:r w:rsidRPr="001427F8">
        <w:rPr>
          <w:rFonts w:ascii="Times New Roman" w:eastAsia="仿宋_GB2312" w:hAnsi="Times New Roman" w:cs="Times New Roman"/>
          <w:kern w:val="0"/>
          <w:sz w:val="32"/>
          <w:szCs w:val="32"/>
        </w:rPr>
        <w:t>1</w:t>
      </w:r>
      <w:r w:rsidRPr="001427F8">
        <w:rPr>
          <w:rFonts w:ascii="Times New Roman" w:eastAsia="仿宋_GB2312" w:hAnsi="Times New Roman" w:cs="Times New Roman"/>
          <w:kern w:val="0"/>
          <w:sz w:val="32"/>
          <w:szCs w:val="32"/>
        </w:rPr>
        <w:t>手（</w:t>
      </w:r>
      <w:r w:rsidRPr="001427F8">
        <w:rPr>
          <w:rFonts w:ascii="Times New Roman" w:eastAsia="仿宋_GB2312" w:hAnsi="Times New Roman" w:cs="Times New Roman"/>
          <w:kern w:val="0"/>
          <w:sz w:val="32"/>
          <w:szCs w:val="32"/>
        </w:rPr>
        <w:t>100</w:t>
      </w:r>
      <w:r w:rsidRPr="001427F8">
        <w:rPr>
          <w:rFonts w:ascii="Times New Roman" w:eastAsia="仿宋_GB2312" w:hAnsi="Times New Roman" w:cs="Times New Roman"/>
          <w:kern w:val="0"/>
          <w:sz w:val="32"/>
          <w:szCs w:val="32"/>
        </w:rPr>
        <w:t>吨）铁矿石期货合约。</w:t>
      </w:r>
    </w:p>
    <w:p w14:paraId="37B85097"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（四）报价单位</w:t>
      </w:r>
    </w:p>
    <w:p w14:paraId="34F89170"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铁矿石期权报价单位设计为与标的期货合约一致，报价单位为元（人民币）</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w:t>
      </w:r>
    </w:p>
    <w:p w14:paraId="3EF054B2"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（五）最小变动价位</w:t>
      </w:r>
    </w:p>
    <w:p w14:paraId="24EE16CB"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最小变动价位是指该期权合约单位价格涨跌变动的最小值。从豆粕期权市场运行情况来看，通常浅虚值期权合约较为活跃，其价格波动小于标的期货的</w:t>
      </w:r>
      <w:r w:rsidRPr="001427F8">
        <w:rPr>
          <w:rFonts w:ascii="Times New Roman" w:eastAsia="仿宋_GB2312" w:hAnsi="Times New Roman" w:cs="Times New Roman"/>
          <w:kern w:val="0"/>
          <w:sz w:val="32"/>
          <w:szCs w:val="32"/>
        </w:rPr>
        <w:t>1/2</w:t>
      </w:r>
      <w:r w:rsidRPr="001427F8">
        <w:rPr>
          <w:rFonts w:ascii="Times New Roman" w:eastAsia="仿宋_GB2312" w:hAnsi="Times New Roman" w:cs="Times New Roman"/>
          <w:kern w:val="0"/>
          <w:sz w:val="32"/>
          <w:szCs w:val="32"/>
        </w:rPr>
        <w:t>，设置较小的最小变动价位，有利于提高报价精度，使期权价格能够及时、有效反映标的期货价格的变动。因此，铁矿石期权最小变动价位设置为</w:t>
      </w:r>
      <w:r w:rsidRPr="001427F8">
        <w:rPr>
          <w:rFonts w:ascii="Times New Roman" w:eastAsia="仿宋_GB2312" w:hAnsi="Times New Roman" w:cs="Times New Roman"/>
          <w:kern w:val="0"/>
          <w:sz w:val="32"/>
          <w:szCs w:val="32"/>
        </w:rPr>
        <w:t>0.1</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吨，占标的期货的</w:t>
      </w:r>
      <w:r w:rsidRPr="001427F8">
        <w:rPr>
          <w:rFonts w:ascii="Times New Roman" w:eastAsia="仿宋_GB2312" w:hAnsi="Times New Roman" w:cs="Times New Roman"/>
          <w:kern w:val="0"/>
          <w:sz w:val="32"/>
          <w:szCs w:val="32"/>
        </w:rPr>
        <w:t>1/5</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 xml:space="preserve"> </w:t>
      </w:r>
    </w:p>
    <w:p w14:paraId="5CED3353"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（六）涨跌停板幅度</w:t>
      </w:r>
    </w:p>
    <w:p w14:paraId="12D6DF3B" w14:textId="77777777" w:rsidR="009806FC" w:rsidRPr="001427F8" w:rsidRDefault="009806FC" w:rsidP="009806FC">
      <w:pPr>
        <w:spacing w:line="580" w:lineRule="exact"/>
        <w:ind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涨跌停板幅度是指期权合约在一个交易日中上涨或下跌的最大值。我所铁矿石期权合约涨跌停板幅度与标的铁矿</w:t>
      </w:r>
      <w:r w:rsidRPr="001427F8">
        <w:rPr>
          <w:rFonts w:ascii="Times New Roman" w:eastAsia="仿宋_GB2312" w:hAnsi="Times New Roman" w:cs="Times New Roman"/>
          <w:kern w:val="0"/>
          <w:sz w:val="32"/>
          <w:szCs w:val="32"/>
        </w:rPr>
        <w:lastRenderedPageBreak/>
        <w:t>石期货合约涨跌停板幅度相同。当期权价格小于停板幅度时，跌停板价格取期权合约的最小变动价位。</w:t>
      </w:r>
    </w:p>
    <w:p w14:paraId="583E995F"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（七）行权方式</w:t>
      </w:r>
    </w:p>
    <w:p w14:paraId="748EC187"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我所铁矿石期权是美式期权，买方在合约到期日及其之前任一交易日均可行使权利。美式期权行权灵活便利，可以降低期权集中到期对标的市场运行的影响，是国际市场商品期货期权的主流行权方式。</w:t>
      </w:r>
    </w:p>
    <w:p w14:paraId="23A34717"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（八）合约月份</w:t>
      </w:r>
    </w:p>
    <w:p w14:paraId="49EAF853"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合约月份是指期权合约对应的标的期货合约的交割月份。铁矿石期权合约的月份为</w:t>
      </w:r>
      <w:r w:rsidRPr="001427F8">
        <w:rPr>
          <w:rFonts w:ascii="Times New Roman" w:eastAsia="仿宋_GB2312" w:hAnsi="Times New Roman" w:cs="Times New Roman"/>
          <w:kern w:val="0"/>
          <w:sz w:val="32"/>
          <w:szCs w:val="32"/>
        </w:rPr>
        <w:t>1</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2</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3</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4</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5</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6</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7</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8</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9</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10</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11</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12</w:t>
      </w:r>
      <w:r w:rsidRPr="001427F8">
        <w:rPr>
          <w:rFonts w:ascii="Times New Roman" w:eastAsia="仿宋_GB2312" w:hAnsi="Times New Roman" w:cs="Times New Roman"/>
          <w:kern w:val="0"/>
          <w:sz w:val="32"/>
          <w:szCs w:val="32"/>
        </w:rPr>
        <w:t>月，与标的期货合约月份一致。期货合约的所有月份均有对应期权合约，便于每一期货合约都有可选择的期权合约进行套期保值和策略组合。</w:t>
      </w:r>
    </w:p>
    <w:p w14:paraId="5645601E"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（九）行权价格</w:t>
      </w:r>
    </w:p>
    <w:p w14:paraId="3E85422E"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期权行权价格是指由期权合约规定的，买方有权在将来某一时间买入或者卖出标的期货合约的价格。期权行权价格覆盖的范围应该足够宽泛，即便在期货价格波动较大时，仍然能够满足投资者对平值、实值、虚值期权的避险需求。但在一定范围内，期权的行权价格数量应当适量，过多将影响单一期权合约的流动性，过少则可能导致缺乏相应合约构建策略组合。</w:t>
      </w:r>
    </w:p>
    <w:p w14:paraId="1948AC0A"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我所规定行权价格应当覆盖其标的期货合约上一交易日结算价上下浮动</w:t>
      </w:r>
      <w:r w:rsidRPr="001427F8">
        <w:rPr>
          <w:rFonts w:ascii="Times New Roman" w:eastAsia="仿宋_GB2312" w:hAnsi="Times New Roman" w:cs="Times New Roman"/>
          <w:kern w:val="0"/>
          <w:sz w:val="32"/>
          <w:szCs w:val="32"/>
        </w:rPr>
        <w:t>1.5</w:t>
      </w:r>
      <w:r w:rsidRPr="001427F8">
        <w:rPr>
          <w:rFonts w:ascii="Times New Roman" w:eastAsia="仿宋_GB2312" w:hAnsi="Times New Roman" w:cs="Times New Roman"/>
          <w:kern w:val="0"/>
          <w:sz w:val="32"/>
          <w:szCs w:val="32"/>
        </w:rPr>
        <w:t>倍当日涨跌停板幅度对应的价格范围。</w:t>
      </w:r>
      <w:r w:rsidRPr="001427F8">
        <w:rPr>
          <w:rFonts w:ascii="Times New Roman" w:eastAsia="仿宋_GB2312" w:hAnsi="Times New Roman" w:cs="Times New Roman"/>
          <w:kern w:val="0"/>
          <w:sz w:val="32"/>
          <w:szCs w:val="32"/>
        </w:rPr>
        <w:lastRenderedPageBreak/>
        <w:t>随着期货价格的变动，每一个交易日将根据上一交易日标的期货结算价上下浮动</w:t>
      </w:r>
      <w:r w:rsidRPr="001427F8">
        <w:rPr>
          <w:rFonts w:ascii="Times New Roman" w:eastAsia="仿宋_GB2312" w:hAnsi="Times New Roman" w:cs="Times New Roman"/>
          <w:kern w:val="0"/>
          <w:sz w:val="32"/>
          <w:szCs w:val="32"/>
        </w:rPr>
        <w:t>1.5</w:t>
      </w:r>
      <w:r w:rsidRPr="001427F8">
        <w:rPr>
          <w:rFonts w:ascii="Times New Roman" w:eastAsia="仿宋_GB2312" w:hAnsi="Times New Roman" w:cs="Times New Roman"/>
          <w:kern w:val="0"/>
          <w:sz w:val="32"/>
          <w:szCs w:val="32"/>
        </w:rPr>
        <w:t>倍当日涨跌停板幅度对应的价格范围，增挂新行权价格的期权合约，满足投资者多样化避险需求。</w:t>
      </w:r>
    </w:p>
    <w:p w14:paraId="13FCC07F"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（十）行权价格间距</w:t>
      </w:r>
    </w:p>
    <w:p w14:paraId="627178D7" w14:textId="051D35C0"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行权价格间距是指相邻两个行权价格之间的差。从铁矿石期货历史交易数据来看</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期货价格主要在</w:t>
      </w:r>
      <w:r w:rsidRPr="001427F8">
        <w:rPr>
          <w:rFonts w:ascii="Times New Roman" w:eastAsia="仿宋_GB2312" w:hAnsi="Times New Roman" w:cs="Times New Roman"/>
          <w:kern w:val="0"/>
          <w:sz w:val="32"/>
          <w:szCs w:val="32"/>
        </w:rPr>
        <w:t>300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吨至</w:t>
      </w:r>
      <w:r w:rsidRPr="001427F8">
        <w:rPr>
          <w:rFonts w:ascii="Times New Roman" w:eastAsia="仿宋_GB2312" w:hAnsi="Times New Roman" w:cs="Times New Roman"/>
          <w:kern w:val="0"/>
          <w:sz w:val="32"/>
          <w:szCs w:val="32"/>
        </w:rPr>
        <w:t>1000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吨区间内波动，为与标的期货价格范围相匹配，我所采用分段式的行权价格间距。铁矿石期权行权价格小于等于</w:t>
      </w:r>
      <w:r w:rsidRPr="001427F8">
        <w:rPr>
          <w:rFonts w:ascii="Times New Roman" w:eastAsia="仿宋_GB2312" w:hAnsi="Times New Roman" w:cs="Times New Roman"/>
          <w:kern w:val="0"/>
          <w:sz w:val="32"/>
          <w:szCs w:val="32"/>
        </w:rPr>
        <w:t>300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吨时</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行权价格间距为</w:t>
      </w:r>
      <w:r w:rsidRPr="001427F8">
        <w:rPr>
          <w:rFonts w:ascii="Times New Roman" w:eastAsia="仿宋_GB2312" w:hAnsi="Times New Roman" w:cs="Times New Roman"/>
          <w:kern w:val="0"/>
          <w:sz w:val="32"/>
          <w:szCs w:val="32"/>
        </w:rPr>
        <w:t>5</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行权价格大于</w:t>
      </w:r>
      <w:r w:rsidRPr="001427F8">
        <w:rPr>
          <w:rFonts w:ascii="Times New Roman" w:eastAsia="仿宋_GB2312" w:hAnsi="Times New Roman" w:cs="Times New Roman"/>
          <w:kern w:val="0"/>
          <w:sz w:val="32"/>
          <w:szCs w:val="32"/>
        </w:rPr>
        <w:t>300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吨且小于等于</w:t>
      </w:r>
      <w:r w:rsidRPr="001427F8">
        <w:rPr>
          <w:rFonts w:ascii="Times New Roman" w:eastAsia="仿宋_GB2312" w:hAnsi="Times New Roman" w:cs="Times New Roman"/>
          <w:kern w:val="0"/>
          <w:sz w:val="32"/>
          <w:szCs w:val="32"/>
        </w:rPr>
        <w:t>1000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吨时</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行权价格间距为</w:t>
      </w:r>
      <w:r w:rsidRPr="001427F8">
        <w:rPr>
          <w:rFonts w:ascii="Times New Roman" w:eastAsia="仿宋_GB2312" w:hAnsi="Times New Roman" w:cs="Times New Roman"/>
          <w:kern w:val="0"/>
          <w:sz w:val="32"/>
          <w:szCs w:val="32"/>
        </w:rPr>
        <w:t>10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行权价格大于</w:t>
      </w:r>
      <w:r w:rsidRPr="001427F8">
        <w:rPr>
          <w:rFonts w:ascii="Times New Roman" w:eastAsia="仿宋_GB2312" w:hAnsi="Times New Roman" w:cs="Times New Roman"/>
          <w:kern w:val="0"/>
          <w:sz w:val="32"/>
          <w:szCs w:val="32"/>
        </w:rPr>
        <w:t>1000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吨时</w:t>
      </w:r>
      <w:r w:rsidR="00242841">
        <w:rPr>
          <w:rFonts w:ascii="Times New Roman" w:eastAsia="仿宋_GB2312" w:hAnsi="Times New Roman" w:cs="Times New Roman" w:hint="eastAsia"/>
          <w:kern w:val="0"/>
          <w:sz w:val="32"/>
          <w:szCs w:val="32"/>
        </w:rPr>
        <w:t>，</w:t>
      </w:r>
      <w:r w:rsidRPr="001427F8">
        <w:rPr>
          <w:rFonts w:ascii="Times New Roman" w:eastAsia="仿宋_GB2312" w:hAnsi="Times New Roman" w:cs="Times New Roman"/>
          <w:kern w:val="0"/>
          <w:sz w:val="32"/>
          <w:szCs w:val="32"/>
        </w:rPr>
        <w:t>行权价格间距为</w:t>
      </w:r>
      <w:r w:rsidRPr="001427F8">
        <w:rPr>
          <w:rFonts w:ascii="Times New Roman" w:eastAsia="仿宋_GB2312" w:hAnsi="Times New Roman" w:cs="Times New Roman"/>
          <w:kern w:val="0"/>
          <w:sz w:val="32"/>
          <w:szCs w:val="32"/>
        </w:rPr>
        <w:t>20</w:t>
      </w:r>
      <w:r w:rsidRPr="001427F8">
        <w:rPr>
          <w:rFonts w:ascii="Times New Roman" w:eastAsia="仿宋_GB2312" w:hAnsi="Times New Roman" w:cs="Times New Roman"/>
          <w:kern w:val="0"/>
          <w:sz w:val="32"/>
          <w:szCs w:val="32"/>
        </w:rPr>
        <w:t>元</w:t>
      </w:r>
      <w:r w:rsidRPr="001427F8">
        <w:rPr>
          <w:rFonts w:ascii="Times New Roman" w:eastAsia="仿宋_GB2312" w:hAnsi="Times New Roman" w:cs="Times New Roman"/>
          <w:kern w:val="0"/>
          <w:sz w:val="32"/>
          <w:szCs w:val="32"/>
        </w:rPr>
        <w:t>/</w:t>
      </w:r>
      <w:r w:rsidRPr="001427F8">
        <w:rPr>
          <w:rFonts w:ascii="Times New Roman" w:eastAsia="仿宋_GB2312" w:hAnsi="Times New Roman" w:cs="Times New Roman"/>
          <w:kern w:val="0"/>
          <w:sz w:val="32"/>
          <w:szCs w:val="32"/>
        </w:rPr>
        <w:t>吨。</w:t>
      </w:r>
    </w:p>
    <w:p w14:paraId="3635AC7E"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（十一）交易时间</w:t>
      </w:r>
    </w:p>
    <w:p w14:paraId="44273630" w14:textId="77777777" w:rsidR="009806FC" w:rsidRPr="001427F8" w:rsidRDefault="009806FC" w:rsidP="009806FC">
      <w:pPr>
        <w:spacing w:line="580" w:lineRule="exact"/>
        <w:ind w:firstLineChars="200" w:firstLine="640"/>
        <w:rPr>
          <w:rFonts w:ascii="Times New Roman" w:eastAsia="仿宋_GB2312" w:hAnsi="Times New Roman" w:cs="Times New Roman"/>
          <w:kern w:val="0"/>
          <w:sz w:val="32"/>
          <w:szCs w:val="32"/>
        </w:rPr>
      </w:pPr>
      <w:r w:rsidRPr="001427F8">
        <w:rPr>
          <w:rFonts w:ascii="Times New Roman" w:eastAsia="仿宋_GB2312" w:hAnsi="Times New Roman" w:cs="Times New Roman"/>
          <w:kern w:val="0"/>
          <w:sz w:val="32"/>
          <w:szCs w:val="32"/>
        </w:rPr>
        <w:t>期权交易时间与标的期货交易时间一致。</w:t>
      </w:r>
    </w:p>
    <w:p w14:paraId="2F56B62A" w14:textId="77777777" w:rsidR="009806FC" w:rsidRPr="001427F8" w:rsidRDefault="009806FC" w:rsidP="009806FC">
      <w:pPr>
        <w:spacing w:line="580" w:lineRule="exact"/>
        <w:ind w:firstLine="640"/>
        <w:rPr>
          <w:rFonts w:ascii="Times New Roman" w:eastAsia="楷体" w:hAnsi="Times New Roman" w:cs="Times New Roman"/>
          <w:b/>
          <w:bCs/>
          <w:kern w:val="0"/>
          <w:sz w:val="32"/>
          <w:szCs w:val="32"/>
        </w:rPr>
      </w:pPr>
      <w:r w:rsidRPr="001427F8">
        <w:rPr>
          <w:rFonts w:ascii="Times New Roman" w:eastAsia="楷体" w:hAnsi="Times New Roman" w:cs="Times New Roman"/>
          <w:b/>
          <w:bCs/>
          <w:kern w:val="0"/>
          <w:sz w:val="32"/>
          <w:szCs w:val="32"/>
        </w:rPr>
        <w:t>（十二）最后交易日与到期日</w:t>
      </w:r>
    </w:p>
    <w:p w14:paraId="2C974439" w14:textId="77777777" w:rsidR="009806FC" w:rsidRPr="001427F8" w:rsidRDefault="009806FC" w:rsidP="009806FC">
      <w:pPr>
        <w:spacing w:line="580" w:lineRule="exact"/>
        <w:ind w:firstLineChars="200" w:firstLine="640"/>
        <w:rPr>
          <w:rFonts w:ascii="Times New Roman" w:eastAsia="仿宋_GB2312" w:hAnsi="Times New Roman" w:cs="Times New Roman"/>
          <w:sz w:val="24"/>
          <w:szCs w:val="24"/>
        </w:rPr>
      </w:pPr>
      <w:r w:rsidRPr="001427F8">
        <w:rPr>
          <w:rFonts w:ascii="Times New Roman" w:eastAsia="仿宋_GB2312" w:hAnsi="Times New Roman" w:cs="Times New Roman"/>
          <w:kern w:val="0"/>
          <w:sz w:val="32"/>
          <w:szCs w:val="32"/>
        </w:rPr>
        <w:t>最后交易日是指期权合约可以进行交易的最后一个交易日，到期日同最后交易日。为保证期权买方（卖方）在最后交易日能够顺利行权（履约），同时保证到期日后有充裕的时间对行权（履约）获得的期货持仓进行平仓，期权最后交易日设定为标的期货合约交割月份前一个月的第</w:t>
      </w:r>
      <w:r w:rsidRPr="001427F8">
        <w:rPr>
          <w:rFonts w:ascii="Times New Roman" w:eastAsia="仿宋_GB2312" w:hAnsi="Times New Roman" w:cs="Times New Roman"/>
          <w:kern w:val="0"/>
          <w:sz w:val="32"/>
          <w:szCs w:val="32"/>
        </w:rPr>
        <w:t>5</w:t>
      </w:r>
      <w:r w:rsidRPr="001427F8">
        <w:rPr>
          <w:rFonts w:ascii="Times New Roman" w:eastAsia="仿宋_GB2312" w:hAnsi="Times New Roman" w:cs="Times New Roman"/>
          <w:kern w:val="0"/>
          <w:sz w:val="32"/>
          <w:szCs w:val="32"/>
        </w:rPr>
        <w:t>个交易日。</w:t>
      </w:r>
    </w:p>
    <w:p w14:paraId="422105D0" w14:textId="77777777" w:rsidR="009806FC" w:rsidRPr="001427F8" w:rsidRDefault="009806FC" w:rsidP="009806FC">
      <w:pPr>
        <w:wordWrap w:val="0"/>
        <w:spacing w:line="580" w:lineRule="exact"/>
        <w:ind w:firstLine="630"/>
        <w:jc w:val="right"/>
        <w:rPr>
          <w:rFonts w:ascii="Times New Roman" w:eastAsia="仿宋_GB2312" w:hAnsi="Times New Roman" w:cs="Times New Roman"/>
          <w:sz w:val="32"/>
          <w:szCs w:val="32"/>
        </w:rPr>
      </w:pPr>
    </w:p>
    <w:p w14:paraId="07E8E4DE" w14:textId="77777777" w:rsidR="00A2554E" w:rsidRPr="001427F8" w:rsidRDefault="00A2554E">
      <w:pPr>
        <w:rPr>
          <w:rFonts w:ascii="Times New Roman" w:hAnsi="Times New Roman" w:cs="Times New Roman"/>
        </w:rPr>
      </w:pPr>
    </w:p>
    <w:sectPr w:rsidR="00A2554E" w:rsidRPr="001427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10B9F" w14:textId="77777777" w:rsidR="009806FC" w:rsidRDefault="009806FC" w:rsidP="009806FC">
      <w:r>
        <w:separator/>
      </w:r>
    </w:p>
  </w:endnote>
  <w:endnote w:type="continuationSeparator" w:id="0">
    <w:p w14:paraId="71C0B156" w14:textId="77777777" w:rsidR="009806FC" w:rsidRDefault="009806FC" w:rsidP="0098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6415"/>
      <w:docPartObj>
        <w:docPartGallery w:val="Page Numbers (Bottom of Page)"/>
        <w:docPartUnique/>
      </w:docPartObj>
    </w:sdtPr>
    <w:sdtEndPr/>
    <w:sdtContent>
      <w:p w14:paraId="6B0A4FC9" w14:textId="029BD444" w:rsidR="009806FC" w:rsidRDefault="009806FC">
        <w:pPr>
          <w:pStyle w:val="a7"/>
          <w:jc w:val="center"/>
        </w:pPr>
        <w:r>
          <w:fldChar w:fldCharType="begin"/>
        </w:r>
        <w:r>
          <w:instrText>PAGE   \* MERGEFORMAT</w:instrText>
        </w:r>
        <w:r>
          <w:fldChar w:fldCharType="separate"/>
        </w:r>
        <w:r w:rsidR="00775ED2" w:rsidRPr="00775ED2">
          <w:rPr>
            <w:noProof/>
            <w:lang w:val="zh-CN"/>
          </w:rPr>
          <w:t>1</w:t>
        </w:r>
        <w:r>
          <w:fldChar w:fldCharType="end"/>
        </w:r>
      </w:p>
    </w:sdtContent>
  </w:sdt>
  <w:p w14:paraId="05A3BF45" w14:textId="77777777" w:rsidR="009806FC" w:rsidRDefault="009806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A3FE" w14:textId="77777777" w:rsidR="009806FC" w:rsidRDefault="009806FC" w:rsidP="009806FC">
      <w:r>
        <w:separator/>
      </w:r>
    </w:p>
  </w:footnote>
  <w:footnote w:type="continuationSeparator" w:id="0">
    <w:p w14:paraId="21DDBB71" w14:textId="77777777" w:rsidR="009806FC" w:rsidRDefault="009806FC" w:rsidP="00980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FC"/>
    <w:rsid w:val="001427F8"/>
    <w:rsid w:val="00242841"/>
    <w:rsid w:val="003D72B7"/>
    <w:rsid w:val="0065473E"/>
    <w:rsid w:val="00775ED2"/>
    <w:rsid w:val="007B1EC4"/>
    <w:rsid w:val="00923C48"/>
    <w:rsid w:val="009806FC"/>
    <w:rsid w:val="00A2554E"/>
    <w:rsid w:val="00A601EF"/>
    <w:rsid w:val="00A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16606"/>
  <w15:chartTrackingRefBased/>
  <w15:docId w15:val="{46922B6B-D4E4-443B-9B9D-52D2A9E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customStyle="1" w:styleId="noicedate">
    <w:name w:val="noice_date"/>
    <w:basedOn w:val="a"/>
    <w:rsid w:val="009806F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9806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06FC"/>
    <w:rPr>
      <w:sz w:val="18"/>
      <w:szCs w:val="18"/>
    </w:rPr>
  </w:style>
  <w:style w:type="paragraph" w:styleId="a7">
    <w:name w:val="footer"/>
    <w:basedOn w:val="a"/>
    <w:link w:val="a8"/>
    <w:uiPriority w:val="99"/>
    <w:unhideWhenUsed/>
    <w:rsid w:val="009806FC"/>
    <w:pPr>
      <w:tabs>
        <w:tab w:val="center" w:pos="4153"/>
        <w:tab w:val="right" w:pos="8306"/>
      </w:tabs>
      <w:snapToGrid w:val="0"/>
      <w:jc w:val="left"/>
    </w:pPr>
    <w:rPr>
      <w:sz w:val="18"/>
      <w:szCs w:val="18"/>
    </w:rPr>
  </w:style>
  <w:style w:type="character" w:customStyle="1" w:styleId="a8">
    <w:name w:val="页脚 字符"/>
    <w:basedOn w:val="a0"/>
    <w:link w:val="a7"/>
    <w:uiPriority w:val="99"/>
    <w:rsid w:val="00980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876BF-297F-4C1C-9CB5-3415D6BACC26}">
  <ds:schemaRefs>
    <ds:schemaRef ds:uri="http://schemas.microsoft.com/office/2006/documentManagement/types"/>
    <ds:schemaRef ds:uri="4f16167e-0980-47ed-bfa9-106d2637988c"/>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BD37EA-1E40-4624-AA71-5F7DB838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9654E-26E9-46AF-8494-6CE0CAABD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1219</Characters>
  <Application>Microsoft Office Word</Application>
  <DocSecurity>0</DocSecurity>
  <Lines>71</Lines>
  <Paragraphs>50</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2019-11-08T10:36:00Z</dcterms:created>
  <dcterms:modified xsi:type="dcterms:W3CDTF">2019-11-08T10:36:00Z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