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E21D2" w14:textId="77777777" w:rsidR="00F13EF7" w:rsidRDefault="00F13EF7" w:rsidP="00F13EF7">
      <w:pPr>
        <w:widowControl/>
        <w:spacing w:line="540" w:lineRule="exact"/>
        <w:rPr>
          <w:rFonts w:ascii="黑体" w:eastAsia="黑体" w:hAnsi="黑体" w:cs="黑体"/>
          <w:sz w:val="32"/>
          <w:szCs w:val="32"/>
        </w:rPr>
      </w:pPr>
      <w:r w:rsidRPr="0098701D">
        <w:rPr>
          <w:rFonts w:ascii="黑体" w:eastAsia="黑体" w:hAnsi="黑体" w:cs="黑体" w:hint="eastAsia"/>
          <w:sz w:val="32"/>
          <w:szCs w:val="32"/>
        </w:rPr>
        <w:t>附件4</w:t>
      </w:r>
    </w:p>
    <w:p w14:paraId="2994563F" w14:textId="77777777" w:rsidR="00F13EF7" w:rsidRPr="0098701D" w:rsidRDefault="00F13EF7" w:rsidP="00F13EF7">
      <w:pPr>
        <w:widowControl/>
        <w:spacing w:line="540" w:lineRule="exact"/>
        <w:rPr>
          <w:rFonts w:ascii="黑体" w:eastAsia="黑体" w:hAnsi="黑体" w:cs="黑体"/>
          <w:sz w:val="32"/>
          <w:szCs w:val="32"/>
        </w:rPr>
      </w:pPr>
    </w:p>
    <w:p w14:paraId="3ABD8A86" w14:textId="77777777" w:rsidR="00F13EF7" w:rsidRPr="00102E58" w:rsidRDefault="00F13EF7" w:rsidP="00F13EF7">
      <w:pPr>
        <w:spacing w:line="540" w:lineRule="exact"/>
        <w:jc w:val="center"/>
        <w:rPr>
          <w:rFonts w:ascii="宋体" w:hAnsi="宋体"/>
          <w:b/>
          <w:sz w:val="36"/>
          <w:szCs w:val="36"/>
        </w:rPr>
      </w:pPr>
      <w:r w:rsidRPr="00102E58">
        <w:rPr>
          <w:rFonts w:ascii="宋体" w:hAnsi="宋体" w:hint="eastAsia"/>
          <w:b/>
          <w:sz w:val="36"/>
          <w:szCs w:val="36"/>
        </w:rPr>
        <w:t>《大连商品交易所风险管理办法》修正案</w:t>
      </w:r>
    </w:p>
    <w:p w14:paraId="14781624" w14:textId="77777777" w:rsidR="00F13EF7" w:rsidRPr="0098701D" w:rsidRDefault="00F13EF7" w:rsidP="00F13EF7">
      <w:pPr>
        <w:widowControl/>
        <w:spacing w:line="540" w:lineRule="exact"/>
        <w:jc w:val="left"/>
        <w:rPr>
          <w:rFonts w:eastAsia="仿宋_GB2312"/>
          <w:color w:val="000000"/>
          <w:sz w:val="32"/>
          <w:szCs w:val="32"/>
        </w:rPr>
      </w:pPr>
    </w:p>
    <w:p w14:paraId="5DF6264A" w14:textId="77777777" w:rsidR="00F13EF7" w:rsidRDefault="00F13EF7" w:rsidP="00F13EF7">
      <w:pPr>
        <w:widowControl/>
        <w:spacing w:line="540" w:lineRule="exact"/>
        <w:ind w:firstLineChars="200" w:firstLine="640"/>
        <w:rPr>
          <w:rFonts w:eastAsia="仿宋_GB2312"/>
          <w:color w:val="000000"/>
          <w:sz w:val="32"/>
          <w:szCs w:val="32"/>
        </w:rPr>
      </w:pPr>
      <w:r w:rsidRPr="00E04C92">
        <w:rPr>
          <w:rFonts w:eastAsia="仿宋_GB2312"/>
          <w:color w:val="000000"/>
          <w:sz w:val="32"/>
          <w:szCs w:val="32"/>
        </w:rPr>
        <w:t>第二十九条</w:t>
      </w:r>
      <w:r w:rsidRPr="00E04C92">
        <w:rPr>
          <w:rFonts w:eastAsia="仿宋_GB2312"/>
          <w:color w:val="000000"/>
          <w:sz w:val="32"/>
          <w:szCs w:val="32"/>
        </w:rPr>
        <w:t xml:space="preserve">  </w:t>
      </w:r>
      <w:r w:rsidRPr="00E04C92">
        <w:rPr>
          <w:rFonts w:eastAsia="仿宋_GB2312"/>
          <w:color w:val="000000"/>
          <w:sz w:val="32"/>
          <w:szCs w:val="32"/>
        </w:rPr>
        <w:t>除鸡蛋、乙二醇品种外，各品种期货合约一般月份（合约上市至交割月份前一个月第十四个交易日）非期货公司会员和客户持仓限额见下表：（单位：手）</w:t>
      </w: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835"/>
        <w:gridCol w:w="2552"/>
        <w:gridCol w:w="1891"/>
      </w:tblGrid>
      <w:tr w:rsidR="00F13EF7" w:rsidRPr="00A14429" w14:paraId="592600D1" w14:textId="77777777" w:rsidTr="00752AC1">
        <w:tc>
          <w:tcPr>
            <w:tcW w:w="1242" w:type="dxa"/>
            <w:shd w:val="clear" w:color="auto" w:fill="auto"/>
            <w:vAlign w:val="center"/>
          </w:tcPr>
          <w:p w14:paraId="4727BC19"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品种</w:t>
            </w:r>
          </w:p>
        </w:tc>
        <w:tc>
          <w:tcPr>
            <w:tcW w:w="2835" w:type="dxa"/>
            <w:shd w:val="clear" w:color="auto" w:fill="auto"/>
            <w:vAlign w:val="center"/>
          </w:tcPr>
          <w:p w14:paraId="5A67F567"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合约单边持仓规模</w:t>
            </w:r>
          </w:p>
        </w:tc>
        <w:tc>
          <w:tcPr>
            <w:tcW w:w="2552" w:type="dxa"/>
            <w:shd w:val="clear" w:color="auto" w:fill="auto"/>
            <w:vAlign w:val="center"/>
          </w:tcPr>
          <w:p w14:paraId="613E66F4"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非期货公司会员</w:t>
            </w:r>
          </w:p>
        </w:tc>
        <w:tc>
          <w:tcPr>
            <w:tcW w:w="1891" w:type="dxa"/>
            <w:shd w:val="clear" w:color="auto" w:fill="auto"/>
            <w:vAlign w:val="center"/>
          </w:tcPr>
          <w:p w14:paraId="3200861E"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客户</w:t>
            </w:r>
          </w:p>
        </w:tc>
      </w:tr>
      <w:tr w:rsidR="00F13EF7" w:rsidRPr="00A14429" w14:paraId="0C6A585F" w14:textId="77777777" w:rsidTr="00752AC1">
        <w:tc>
          <w:tcPr>
            <w:tcW w:w="1242" w:type="dxa"/>
            <w:shd w:val="clear" w:color="auto" w:fill="auto"/>
          </w:tcPr>
          <w:p w14:paraId="21FA3C8D"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835" w:type="dxa"/>
            <w:shd w:val="clear" w:color="auto" w:fill="auto"/>
          </w:tcPr>
          <w:p w14:paraId="17F1B2E9"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52" w:type="dxa"/>
            <w:shd w:val="clear" w:color="auto" w:fill="auto"/>
          </w:tcPr>
          <w:p w14:paraId="2E694546"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1891" w:type="dxa"/>
            <w:shd w:val="clear" w:color="auto" w:fill="auto"/>
          </w:tcPr>
          <w:p w14:paraId="179363DA"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r>
      <w:tr w:rsidR="00F13EF7" w:rsidRPr="00A14429" w14:paraId="0800FDE0" w14:textId="77777777" w:rsidTr="00752AC1">
        <w:tc>
          <w:tcPr>
            <w:tcW w:w="1242" w:type="dxa"/>
            <w:vMerge w:val="restart"/>
            <w:shd w:val="clear" w:color="auto" w:fill="auto"/>
            <w:vAlign w:val="center"/>
          </w:tcPr>
          <w:p w14:paraId="66CCF480"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纤维板</w:t>
            </w:r>
          </w:p>
        </w:tc>
        <w:tc>
          <w:tcPr>
            <w:tcW w:w="2835" w:type="dxa"/>
            <w:shd w:val="clear" w:color="auto" w:fill="auto"/>
            <w:vAlign w:val="center"/>
          </w:tcPr>
          <w:p w14:paraId="5FCCB0FC"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w:t>
            </w: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0,000</w:t>
            </w:r>
          </w:p>
        </w:tc>
        <w:tc>
          <w:tcPr>
            <w:tcW w:w="2552" w:type="dxa"/>
            <w:shd w:val="clear" w:color="auto" w:fill="auto"/>
            <w:vAlign w:val="center"/>
          </w:tcPr>
          <w:p w14:paraId="4AAE8F42"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w:t>
            </w:r>
          </w:p>
        </w:tc>
        <w:tc>
          <w:tcPr>
            <w:tcW w:w="1891" w:type="dxa"/>
            <w:shd w:val="clear" w:color="auto" w:fill="auto"/>
            <w:vAlign w:val="center"/>
          </w:tcPr>
          <w:p w14:paraId="25BABD68"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w:t>
            </w:r>
          </w:p>
        </w:tc>
      </w:tr>
      <w:tr w:rsidR="00F13EF7" w:rsidRPr="00A14429" w14:paraId="38EB36C1" w14:textId="77777777" w:rsidTr="00752AC1">
        <w:tc>
          <w:tcPr>
            <w:tcW w:w="1242" w:type="dxa"/>
            <w:vMerge/>
            <w:shd w:val="clear" w:color="auto" w:fill="auto"/>
            <w:vAlign w:val="center"/>
          </w:tcPr>
          <w:p w14:paraId="29182B9B" w14:textId="77777777" w:rsidR="00F13EF7" w:rsidRPr="00A14429" w:rsidRDefault="00F13EF7" w:rsidP="00752AC1">
            <w:pPr>
              <w:widowControl/>
              <w:spacing w:line="540" w:lineRule="exact"/>
              <w:jc w:val="left"/>
              <w:rPr>
                <w:rFonts w:ascii="仿宋_GB2312" w:eastAsia="仿宋_GB2312" w:hAnsi="宋体" w:cs="宋体"/>
                <w:kern w:val="0"/>
                <w:sz w:val="32"/>
                <w:szCs w:val="32"/>
              </w:rPr>
            </w:pPr>
          </w:p>
        </w:tc>
        <w:tc>
          <w:tcPr>
            <w:tcW w:w="2835" w:type="dxa"/>
            <w:shd w:val="clear" w:color="auto" w:fill="auto"/>
            <w:vAlign w:val="center"/>
          </w:tcPr>
          <w:p w14:paraId="1F4D99C0"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w:t>
            </w: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0,000</w:t>
            </w:r>
          </w:p>
        </w:tc>
        <w:tc>
          <w:tcPr>
            <w:tcW w:w="2552" w:type="dxa"/>
            <w:shd w:val="clear" w:color="auto" w:fill="auto"/>
            <w:vAlign w:val="center"/>
          </w:tcPr>
          <w:p w14:paraId="7F101651"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单边持仓×10%</w:t>
            </w:r>
          </w:p>
        </w:tc>
        <w:tc>
          <w:tcPr>
            <w:tcW w:w="1891" w:type="dxa"/>
            <w:shd w:val="clear" w:color="auto" w:fill="auto"/>
            <w:vAlign w:val="center"/>
          </w:tcPr>
          <w:p w14:paraId="27350AC7"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单边持仓×10%</w:t>
            </w:r>
          </w:p>
        </w:tc>
      </w:tr>
      <w:tr w:rsidR="00F13EF7" w:rsidRPr="00A14429" w14:paraId="5D0EB7AC" w14:textId="77777777" w:rsidTr="00752AC1">
        <w:tc>
          <w:tcPr>
            <w:tcW w:w="1242" w:type="dxa"/>
            <w:shd w:val="clear" w:color="auto" w:fill="auto"/>
          </w:tcPr>
          <w:p w14:paraId="32A06860"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835" w:type="dxa"/>
            <w:shd w:val="clear" w:color="auto" w:fill="auto"/>
          </w:tcPr>
          <w:p w14:paraId="4ED0F1AF"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52" w:type="dxa"/>
            <w:shd w:val="clear" w:color="auto" w:fill="auto"/>
          </w:tcPr>
          <w:p w14:paraId="40D49300"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1891" w:type="dxa"/>
            <w:shd w:val="clear" w:color="auto" w:fill="auto"/>
          </w:tcPr>
          <w:p w14:paraId="36184B5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r>
    </w:tbl>
    <w:p w14:paraId="18A91961" w14:textId="77777777" w:rsidR="00F13EF7" w:rsidRDefault="00F13EF7" w:rsidP="00F13EF7">
      <w:pPr>
        <w:widowControl/>
        <w:spacing w:line="540" w:lineRule="exact"/>
        <w:ind w:firstLineChars="200" w:firstLine="640"/>
        <w:rPr>
          <w:rFonts w:eastAsia="仿宋_GB2312"/>
          <w:color w:val="000000"/>
          <w:sz w:val="32"/>
          <w:szCs w:val="32"/>
        </w:rPr>
      </w:pPr>
      <w:r w:rsidRPr="00835E3F">
        <w:rPr>
          <w:rFonts w:eastAsia="仿宋_GB2312"/>
          <w:color w:val="000000"/>
          <w:sz w:val="32"/>
          <w:szCs w:val="32"/>
        </w:rPr>
        <w:t>除鸡蛋、乙二醇品种外，各品种期货合约自交割月份前一个月第十五个交易日至交割月期间非期货公司会员和客户持仓限额见下表，交割月份个人客户持仓限额为</w:t>
      </w:r>
      <w:r>
        <w:rPr>
          <w:rFonts w:eastAsia="仿宋_GB2312" w:hint="eastAsia"/>
          <w:color w:val="000000"/>
          <w:sz w:val="32"/>
          <w:szCs w:val="32"/>
        </w:rPr>
        <w:t>0</w:t>
      </w:r>
      <w:r w:rsidRPr="00835E3F">
        <w:rPr>
          <w:rFonts w:eastAsia="仿宋_GB2312"/>
          <w:color w:val="000000"/>
          <w:sz w:val="32"/>
          <w:szCs w:val="32"/>
        </w:rPr>
        <w:t>：（单位：手）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3460"/>
        <w:gridCol w:w="2484"/>
        <w:gridCol w:w="1176"/>
      </w:tblGrid>
      <w:tr w:rsidR="00F13EF7" w:rsidRPr="00A14429" w14:paraId="2D026948" w14:textId="77777777" w:rsidTr="00752AC1">
        <w:tc>
          <w:tcPr>
            <w:tcW w:w="0" w:type="auto"/>
            <w:shd w:val="clear" w:color="auto" w:fill="auto"/>
            <w:noWrap/>
            <w:hideMark/>
          </w:tcPr>
          <w:p w14:paraId="2A3F5430"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品种</w:t>
            </w:r>
          </w:p>
        </w:tc>
        <w:tc>
          <w:tcPr>
            <w:tcW w:w="3610" w:type="dxa"/>
            <w:shd w:val="clear" w:color="auto" w:fill="auto"/>
            <w:hideMark/>
          </w:tcPr>
          <w:p w14:paraId="5A8D86E2"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时间段</w:t>
            </w:r>
          </w:p>
        </w:tc>
        <w:tc>
          <w:tcPr>
            <w:tcW w:w="2560" w:type="dxa"/>
            <w:shd w:val="clear" w:color="auto" w:fill="auto"/>
            <w:hideMark/>
          </w:tcPr>
          <w:p w14:paraId="027C76F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非期货公司会员</w:t>
            </w:r>
          </w:p>
        </w:tc>
        <w:tc>
          <w:tcPr>
            <w:tcW w:w="0" w:type="auto"/>
            <w:shd w:val="clear" w:color="auto" w:fill="auto"/>
            <w:hideMark/>
          </w:tcPr>
          <w:p w14:paraId="7BEC22DD"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客户</w:t>
            </w:r>
          </w:p>
        </w:tc>
      </w:tr>
      <w:tr w:rsidR="00F13EF7" w:rsidRPr="00A14429" w14:paraId="0B835C60" w14:textId="77777777" w:rsidTr="00752AC1">
        <w:tc>
          <w:tcPr>
            <w:tcW w:w="0" w:type="auto"/>
            <w:shd w:val="clear" w:color="auto" w:fill="auto"/>
            <w:noWrap/>
            <w:hideMark/>
          </w:tcPr>
          <w:p w14:paraId="508DB66A"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3610" w:type="dxa"/>
            <w:shd w:val="clear" w:color="auto" w:fill="auto"/>
            <w:hideMark/>
          </w:tcPr>
          <w:p w14:paraId="679BD061"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60" w:type="dxa"/>
            <w:shd w:val="clear" w:color="auto" w:fill="auto"/>
            <w:hideMark/>
          </w:tcPr>
          <w:p w14:paraId="5F960B3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0" w:type="auto"/>
            <w:shd w:val="clear" w:color="auto" w:fill="auto"/>
            <w:hideMark/>
          </w:tcPr>
          <w:p w14:paraId="1A38AE4C"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r>
      <w:tr w:rsidR="00F13EF7" w:rsidRPr="00A14429" w14:paraId="1EF7CB4A" w14:textId="77777777" w:rsidTr="00752AC1">
        <w:tc>
          <w:tcPr>
            <w:tcW w:w="0" w:type="auto"/>
            <w:vMerge w:val="restart"/>
            <w:shd w:val="clear" w:color="auto" w:fill="auto"/>
            <w:noWrap/>
            <w:hideMark/>
          </w:tcPr>
          <w:p w14:paraId="497B7C48"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color w:val="000000"/>
                <w:sz w:val="32"/>
                <w:szCs w:val="32"/>
              </w:rPr>
              <w:t>纤维板</w:t>
            </w:r>
          </w:p>
        </w:tc>
        <w:tc>
          <w:tcPr>
            <w:tcW w:w="3610" w:type="dxa"/>
            <w:shd w:val="clear" w:color="auto" w:fill="auto"/>
            <w:hideMark/>
          </w:tcPr>
          <w:p w14:paraId="215BB2D8"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交割月前一个月第十五个交易日起</w:t>
            </w:r>
          </w:p>
        </w:tc>
        <w:tc>
          <w:tcPr>
            <w:tcW w:w="2560" w:type="dxa"/>
            <w:shd w:val="clear" w:color="auto" w:fill="auto"/>
            <w:hideMark/>
          </w:tcPr>
          <w:p w14:paraId="55E8D665"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400</w:t>
            </w:r>
            <w:r w:rsidRPr="00A14429">
              <w:rPr>
                <w:rFonts w:eastAsia="仿宋_GB2312" w:hint="eastAsia"/>
                <w:color w:val="000000"/>
                <w:sz w:val="32"/>
                <w:szCs w:val="32"/>
                <w:shd w:val="pct15" w:color="auto" w:fill="FFFFFF"/>
              </w:rPr>
              <w:t>800</w:t>
            </w:r>
          </w:p>
        </w:tc>
        <w:tc>
          <w:tcPr>
            <w:tcW w:w="0" w:type="auto"/>
            <w:shd w:val="clear" w:color="auto" w:fill="auto"/>
            <w:hideMark/>
          </w:tcPr>
          <w:p w14:paraId="6075B6EF"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400</w:t>
            </w:r>
            <w:r w:rsidRPr="00A14429">
              <w:rPr>
                <w:rFonts w:eastAsia="仿宋_GB2312" w:hint="eastAsia"/>
                <w:color w:val="000000"/>
                <w:sz w:val="32"/>
                <w:szCs w:val="32"/>
                <w:shd w:val="pct15" w:color="auto" w:fill="FFFFFF"/>
              </w:rPr>
              <w:t>800</w:t>
            </w:r>
          </w:p>
        </w:tc>
      </w:tr>
      <w:tr w:rsidR="00F13EF7" w:rsidRPr="00A14429" w14:paraId="73A4B81C" w14:textId="77777777" w:rsidTr="00752AC1">
        <w:tc>
          <w:tcPr>
            <w:tcW w:w="0" w:type="auto"/>
            <w:vMerge/>
            <w:shd w:val="clear" w:color="auto" w:fill="auto"/>
            <w:hideMark/>
          </w:tcPr>
          <w:p w14:paraId="233E8EE8" w14:textId="77777777" w:rsidR="00F13EF7" w:rsidRPr="00A14429" w:rsidRDefault="00F13EF7" w:rsidP="00752AC1">
            <w:pPr>
              <w:widowControl/>
              <w:spacing w:line="540" w:lineRule="exact"/>
              <w:jc w:val="left"/>
              <w:rPr>
                <w:rFonts w:eastAsia="仿宋_GB2312"/>
                <w:color w:val="000000"/>
                <w:sz w:val="32"/>
                <w:szCs w:val="32"/>
              </w:rPr>
            </w:pPr>
          </w:p>
        </w:tc>
        <w:tc>
          <w:tcPr>
            <w:tcW w:w="3610" w:type="dxa"/>
            <w:shd w:val="clear" w:color="auto" w:fill="auto"/>
            <w:hideMark/>
          </w:tcPr>
          <w:p w14:paraId="31FD1686"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交割月份</w:t>
            </w:r>
          </w:p>
        </w:tc>
        <w:tc>
          <w:tcPr>
            <w:tcW w:w="2560" w:type="dxa"/>
            <w:shd w:val="clear" w:color="auto" w:fill="auto"/>
            <w:hideMark/>
          </w:tcPr>
          <w:p w14:paraId="5555EE0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100</w:t>
            </w:r>
            <w:r w:rsidRPr="00A14429">
              <w:rPr>
                <w:rFonts w:eastAsia="仿宋_GB2312" w:hint="eastAsia"/>
                <w:color w:val="000000"/>
                <w:sz w:val="32"/>
                <w:szCs w:val="32"/>
                <w:shd w:val="pct15" w:color="auto" w:fill="FFFFFF"/>
              </w:rPr>
              <w:t>200</w:t>
            </w:r>
          </w:p>
        </w:tc>
        <w:tc>
          <w:tcPr>
            <w:tcW w:w="0" w:type="auto"/>
            <w:shd w:val="clear" w:color="auto" w:fill="auto"/>
            <w:hideMark/>
          </w:tcPr>
          <w:p w14:paraId="5C98F966"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100</w:t>
            </w:r>
            <w:r w:rsidRPr="00A14429">
              <w:rPr>
                <w:rFonts w:eastAsia="仿宋_GB2312" w:hint="eastAsia"/>
                <w:color w:val="000000"/>
                <w:sz w:val="32"/>
                <w:szCs w:val="32"/>
                <w:shd w:val="pct15" w:color="auto" w:fill="FFFFFF"/>
              </w:rPr>
              <w:t>200</w:t>
            </w:r>
          </w:p>
        </w:tc>
      </w:tr>
      <w:tr w:rsidR="00F13EF7" w:rsidRPr="00A14429" w14:paraId="4AB321C7" w14:textId="77777777" w:rsidTr="00752AC1">
        <w:tc>
          <w:tcPr>
            <w:tcW w:w="0" w:type="auto"/>
            <w:shd w:val="clear" w:color="auto" w:fill="auto"/>
            <w:hideMark/>
          </w:tcPr>
          <w:p w14:paraId="11380642"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3610" w:type="dxa"/>
            <w:shd w:val="clear" w:color="auto" w:fill="auto"/>
            <w:hideMark/>
          </w:tcPr>
          <w:p w14:paraId="2D54BDA9"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60" w:type="dxa"/>
            <w:shd w:val="clear" w:color="auto" w:fill="auto"/>
            <w:hideMark/>
          </w:tcPr>
          <w:p w14:paraId="26FCD244" w14:textId="77777777" w:rsidR="00F13EF7" w:rsidRPr="00A14429" w:rsidRDefault="00F13EF7" w:rsidP="00752AC1">
            <w:pPr>
              <w:widowControl/>
              <w:spacing w:line="540" w:lineRule="exact"/>
              <w:jc w:val="left"/>
              <w:rPr>
                <w:rFonts w:eastAsia="仿宋_GB2312"/>
                <w:dstrike/>
                <w:color w:val="000000"/>
                <w:sz w:val="32"/>
                <w:szCs w:val="32"/>
              </w:rPr>
            </w:pPr>
            <w:r w:rsidRPr="00A14429">
              <w:rPr>
                <w:rFonts w:eastAsia="仿宋_GB2312"/>
                <w:color w:val="000000"/>
                <w:sz w:val="32"/>
                <w:szCs w:val="32"/>
              </w:rPr>
              <w:t>……</w:t>
            </w:r>
          </w:p>
        </w:tc>
        <w:tc>
          <w:tcPr>
            <w:tcW w:w="0" w:type="auto"/>
            <w:shd w:val="clear" w:color="auto" w:fill="auto"/>
            <w:hideMark/>
          </w:tcPr>
          <w:p w14:paraId="4C1B3453" w14:textId="77777777" w:rsidR="00F13EF7" w:rsidRPr="00A14429" w:rsidRDefault="00F13EF7" w:rsidP="00752AC1">
            <w:pPr>
              <w:widowControl/>
              <w:spacing w:line="540" w:lineRule="exact"/>
              <w:jc w:val="left"/>
              <w:rPr>
                <w:rFonts w:eastAsia="仿宋_GB2312"/>
                <w:dstrike/>
                <w:color w:val="000000"/>
                <w:sz w:val="32"/>
                <w:szCs w:val="32"/>
              </w:rPr>
            </w:pPr>
            <w:r w:rsidRPr="00A14429">
              <w:rPr>
                <w:rFonts w:eastAsia="仿宋_GB2312"/>
                <w:color w:val="000000"/>
                <w:sz w:val="32"/>
                <w:szCs w:val="32"/>
              </w:rPr>
              <w:t>……</w:t>
            </w:r>
          </w:p>
        </w:tc>
      </w:tr>
    </w:tbl>
    <w:p w14:paraId="5523B006" w14:textId="77777777" w:rsidR="00F13EF7" w:rsidRDefault="00F13EF7" w:rsidP="00F13EF7">
      <w:pPr>
        <w:spacing w:line="540" w:lineRule="exact"/>
        <w:ind w:firstLineChars="200" w:firstLine="640"/>
        <w:rPr>
          <w:rFonts w:ascii="仿宋_GB2312" w:eastAsia="仿宋_GB2312"/>
          <w:sz w:val="32"/>
          <w:szCs w:val="32"/>
        </w:rPr>
      </w:pPr>
      <w:r w:rsidRPr="00F254F4">
        <w:rPr>
          <w:rFonts w:eastAsia="仿宋_GB2312"/>
          <w:color w:val="000000"/>
          <w:sz w:val="32"/>
          <w:szCs w:val="32"/>
          <w:shd w:val="clear" w:color="auto" w:fill="FFFFFF"/>
        </w:rPr>
        <w:t>……</w:t>
      </w:r>
    </w:p>
    <w:p w14:paraId="4D54FD4A" w14:textId="77777777" w:rsidR="00F13EF7" w:rsidRDefault="00F13EF7" w:rsidP="00F13EF7">
      <w:pPr>
        <w:spacing w:line="540" w:lineRule="exact"/>
        <w:jc w:val="center"/>
        <w:rPr>
          <w:rFonts w:ascii="宋体" w:hAnsi="宋体"/>
          <w:b/>
          <w:sz w:val="36"/>
          <w:szCs w:val="36"/>
        </w:rPr>
      </w:pPr>
    </w:p>
    <w:p w14:paraId="5524C320" w14:textId="4B3BB9D5" w:rsidR="00F13EF7" w:rsidRPr="00102E58" w:rsidRDefault="00F13EF7" w:rsidP="00F13EF7">
      <w:pPr>
        <w:spacing w:line="540" w:lineRule="exact"/>
        <w:jc w:val="center"/>
        <w:rPr>
          <w:rFonts w:ascii="宋体" w:hAnsi="宋体"/>
          <w:b/>
          <w:sz w:val="36"/>
          <w:szCs w:val="36"/>
        </w:rPr>
      </w:pPr>
      <w:r w:rsidRPr="00102E58">
        <w:rPr>
          <w:rFonts w:ascii="宋体" w:hAnsi="宋体" w:hint="eastAsia"/>
          <w:b/>
          <w:sz w:val="36"/>
          <w:szCs w:val="36"/>
        </w:rPr>
        <w:t>《大连商品交易所风险管理办法》</w:t>
      </w:r>
      <w:r>
        <w:rPr>
          <w:rFonts w:ascii="宋体" w:hAnsi="宋体" w:hint="eastAsia"/>
          <w:b/>
          <w:sz w:val="36"/>
          <w:szCs w:val="36"/>
        </w:rPr>
        <w:t>修订稿</w:t>
      </w:r>
    </w:p>
    <w:p w14:paraId="3B57505C" w14:textId="77777777" w:rsidR="00F13EF7" w:rsidRDefault="00F13EF7" w:rsidP="00F13EF7">
      <w:pPr>
        <w:spacing w:line="580" w:lineRule="exact"/>
        <w:jc w:val="center"/>
        <w:rPr>
          <w:rFonts w:ascii="仿宋_GB2312" w:eastAsia="仿宋_GB2312"/>
          <w:b/>
          <w:sz w:val="32"/>
          <w:szCs w:val="32"/>
        </w:rPr>
      </w:pPr>
    </w:p>
    <w:p w14:paraId="7E5E8082" w14:textId="5085E2B6" w:rsidR="00F13EF7" w:rsidRPr="00D51C6A" w:rsidRDefault="00F13EF7" w:rsidP="00F13EF7">
      <w:pPr>
        <w:spacing w:line="580" w:lineRule="exact"/>
        <w:jc w:val="center"/>
        <w:rPr>
          <w:rFonts w:ascii="仿宋_GB2312" w:eastAsia="仿宋_GB2312"/>
          <w:b/>
          <w:sz w:val="32"/>
          <w:szCs w:val="32"/>
        </w:rPr>
      </w:pPr>
      <w:r w:rsidRPr="00D51C6A">
        <w:rPr>
          <w:rFonts w:ascii="仿宋_GB2312" w:eastAsia="仿宋_GB2312"/>
          <w:b/>
          <w:sz w:val="32"/>
          <w:szCs w:val="32"/>
        </w:rPr>
        <w:t>第一章 总则</w:t>
      </w:r>
    </w:p>
    <w:p w14:paraId="0A74EBE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第一条</w:t>
      </w:r>
      <w:r w:rsidRPr="00D51C6A">
        <w:rPr>
          <w:rFonts w:eastAsia="仿宋_GB2312"/>
          <w:color w:val="000000"/>
          <w:sz w:val="32"/>
          <w:szCs w:val="32"/>
        </w:rPr>
        <w:t xml:space="preserve"> </w:t>
      </w:r>
      <w:r w:rsidRPr="00D51C6A">
        <w:rPr>
          <w:rFonts w:eastAsia="仿宋_GB2312"/>
          <w:color w:val="000000"/>
          <w:sz w:val="32"/>
          <w:szCs w:val="32"/>
        </w:rPr>
        <w:t>为了加强期货交易风险管理，维护期货交易各方的合法权益，保证大连商品交易所</w:t>
      </w:r>
      <w:r w:rsidRPr="00D51C6A">
        <w:rPr>
          <w:rFonts w:eastAsia="仿宋_GB2312"/>
          <w:color w:val="000000"/>
          <w:sz w:val="32"/>
          <w:szCs w:val="32"/>
        </w:rPr>
        <w:t>(</w:t>
      </w:r>
      <w:r w:rsidRPr="00D51C6A">
        <w:rPr>
          <w:rFonts w:eastAsia="仿宋_GB2312"/>
          <w:color w:val="000000"/>
          <w:sz w:val="32"/>
          <w:szCs w:val="32"/>
        </w:rPr>
        <w:t>以下简称交易所</w:t>
      </w:r>
      <w:r w:rsidRPr="00D51C6A">
        <w:rPr>
          <w:rFonts w:eastAsia="仿宋_GB2312"/>
          <w:color w:val="000000"/>
          <w:sz w:val="32"/>
          <w:szCs w:val="32"/>
        </w:rPr>
        <w:t>)</w:t>
      </w:r>
      <w:r w:rsidRPr="00D51C6A">
        <w:rPr>
          <w:rFonts w:eastAsia="仿宋_GB2312"/>
          <w:color w:val="000000"/>
          <w:sz w:val="32"/>
          <w:szCs w:val="32"/>
        </w:rPr>
        <w:t>期货交易正常的进行，根据《大连商品交易所交易规则》，制定本办法。</w:t>
      </w:r>
    </w:p>
    <w:p w14:paraId="428B776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第二条</w:t>
      </w:r>
      <w:r w:rsidRPr="00D51C6A">
        <w:rPr>
          <w:rFonts w:eastAsia="仿宋_GB2312"/>
          <w:color w:val="000000"/>
          <w:sz w:val="32"/>
          <w:szCs w:val="32"/>
        </w:rPr>
        <w:t xml:space="preserve"> </w:t>
      </w:r>
      <w:r w:rsidRPr="00D51C6A">
        <w:rPr>
          <w:rFonts w:eastAsia="仿宋_GB2312"/>
          <w:color w:val="000000"/>
          <w:sz w:val="32"/>
          <w:szCs w:val="32"/>
        </w:rPr>
        <w:t>交易所风险管理实行保证金制度、涨跌停板制度、限仓制度、交易限额制度、大户报告制度、强行平仓制度和风险警示制度。</w:t>
      </w:r>
    </w:p>
    <w:p w14:paraId="7B708CD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第三条</w:t>
      </w:r>
      <w:r w:rsidRPr="00D51C6A">
        <w:rPr>
          <w:rFonts w:eastAsia="仿宋_GB2312"/>
          <w:color w:val="000000"/>
          <w:sz w:val="32"/>
          <w:szCs w:val="32"/>
        </w:rPr>
        <w:t xml:space="preserve"> </w:t>
      </w:r>
      <w:r w:rsidRPr="00D51C6A">
        <w:rPr>
          <w:rFonts w:eastAsia="仿宋_GB2312"/>
          <w:color w:val="000000"/>
          <w:sz w:val="32"/>
          <w:szCs w:val="32"/>
        </w:rPr>
        <w:t>交易所、会员、境外经纪机构和客户必须遵守本办法。境外经纪机构应当辅助其委托交易结算的期货公司会员做好境外客户的强行平仓、大户报告、风险提示等工作。期货公司会员应当将涉及境外经纪机构客户的</w:t>
      </w:r>
      <w:r w:rsidRPr="00D51C6A">
        <w:rPr>
          <w:rFonts w:eastAsia="仿宋_GB2312"/>
          <w:color w:val="000000"/>
          <w:sz w:val="32"/>
          <w:szCs w:val="32"/>
        </w:rPr>
        <w:t>“</w:t>
      </w:r>
      <w:r w:rsidRPr="00D51C6A">
        <w:rPr>
          <w:rFonts w:eastAsia="仿宋_GB2312"/>
          <w:color w:val="000000"/>
          <w:sz w:val="32"/>
          <w:szCs w:val="32"/>
        </w:rPr>
        <w:t>强行平仓通知书</w:t>
      </w:r>
      <w:r w:rsidRPr="00D51C6A">
        <w:rPr>
          <w:rFonts w:eastAsia="仿宋_GB2312"/>
          <w:color w:val="000000"/>
          <w:sz w:val="32"/>
          <w:szCs w:val="32"/>
        </w:rPr>
        <w:t>”</w:t>
      </w:r>
      <w:r w:rsidRPr="00D51C6A">
        <w:rPr>
          <w:rFonts w:eastAsia="仿宋_GB2312"/>
          <w:color w:val="000000"/>
          <w:sz w:val="32"/>
          <w:szCs w:val="32"/>
        </w:rPr>
        <w:t>、强行平仓结果、风险提示函等及时通知境外经纪机构。</w:t>
      </w:r>
    </w:p>
    <w:p w14:paraId="27D93AC7"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第二章 保证金制度</w:t>
      </w:r>
    </w:p>
    <w:p w14:paraId="53B0B03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第四条</w:t>
      </w:r>
      <w:r w:rsidRPr="00D51C6A">
        <w:rPr>
          <w:rFonts w:eastAsia="仿宋_GB2312"/>
          <w:color w:val="000000"/>
          <w:sz w:val="32"/>
          <w:szCs w:val="32"/>
        </w:rPr>
        <w:t xml:space="preserve"> </w:t>
      </w:r>
      <w:r w:rsidRPr="00D51C6A">
        <w:rPr>
          <w:rFonts w:eastAsia="仿宋_GB2312"/>
          <w:color w:val="000000"/>
          <w:sz w:val="32"/>
          <w:szCs w:val="32"/>
        </w:rPr>
        <w:t>交易所实行保证金制度。各品种期货合约的最低交易保证金为合约价值的</w:t>
      </w:r>
      <w:r w:rsidRPr="00D51C6A">
        <w:rPr>
          <w:rFonts w:eastAsia="仿宋_GB2312"/>
          <w:color w:val="000000"/>
          <w:sz w:val="32"/>
          <w:szCs w:val="32"/>
        </w:rPr>
        <w:t>5%</w:t>
      </w:r>
      <w:r w:rsidRPr="00D51C6A">
        <w:rPr>
          <w:rFonts w:eastAsia="仿宋_GB2312"/>
          <w:color w:val="000000"/>
          <w:sz w:val="32"/>
          <w:szCs w:val="32"/>
        </w:rPr>
        <w:t>。</w:t>
      </w:r>
    </w:p>
    <w:p w14:paraId="3C64481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新开仓交易保证金按前一交易日结算时交易保证金收取。</w:t>
      </w:r>
    </w:p>
    <w:p w14:paraId="6E2DFFE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交易所可以根据市场情况调整各合约交易保证金标准。</w:t>
      </w:r>
    </w:p>
    <w:p w14:paraId="75BF3C8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第五条</w:t>
      </w:r>
      <w:r w:rsidRPr="00D51C6A">
        <w:rPr>
          <w:rFonts w:eastAsia="仿宋_GB2312"/>
          <w:color w:val="000000"/>
          <w:sz w:val="32"/>
          <w:szCs w:val="32"/>
        </w:rPr>
        <w:t xml:space="preserve"> </w:t>
      </w:r>
      <w:r w:rsidRPr="00D51C6A">
        <w:rPr>
          <w:rFonts w:eastAsia="仿宋_GB2312"/>
          <w:color w:val="000000"/>
          <w:sz w:val="32"/>
          <w:szCs w:val="32"/>
        </w:rPr>
        <w:t>自交易所上市的商品期货合约进入交割月份前</w:t>
      </w:r>
      <w:r w:rsidRPr="00D51C6A">
        <w:rPr>
          <w:rFonts w:eastAsia="仿宋_GB2312"/>
          <w:color w:val="000000"/>
          <w:sz w:val="32"/>
          <w:szCs w:val="32"/>
        </w:rPr>
        <w:lastRenderedPageBreak/>
        <w:t>一个月第十五个交易日起，交易所将分时间</w:t>
      </w:r>
      <w:proofErr w:type="gramStart"/>
      <w:r w:rsidRPr="00D51C6A">
        <w:rPr>
          <w:rFonts w:eastAsia="仿宋_GB2312"/>
          <w:color w:val="000000"/>
          <w:sz w:val="32"/>
          <w:szCs w:val="32"/>
        </w:rPr>
        <w:t>段逐步</w:t>
      </w:r>
      <w:proofErr w:type="gramEnd"/>
      <w:r w:rsidRPr="00D51C6A">
        <w:rPr>
          <w:rFonts w:eastAsia="仿宋_GB2312"/>
          <w:color w:val="000000"/>
          <w:sz w:val="32"/>
          <w:szCs w:val="32"/>
        </w:rPr>
        <w:t>提高该合约的交易保证金。合约在某一交易时间段的交易保证金标准自该交易时间段</w:t>
      </w:r>
      <w:proofErr w:type="gramStart"/>
      <w:r w:rsidRPr="00D51C6A">
        <w:rPr>
          <w:rFonts w:eastAsia="仿宋_GB2312"/>
          <w:color w:val="000000"/>
          <w:sz w:val="32"/>
          <w:szCs w:val="32"/>
        </w:rPr>
        <w:t>起始日前</w:t>
      </w:r>
      <w:proofErr w:type="gramEnd"/>
      <w:r w:rsidRPr="00D51C6A">
        <w:rPr>
          <w:rFonts w:eastAsia="仿宋_GB2312"/>
          <w:color w:val="000000"/>
          <w:sz w:val="32"/>
          <w:szCs w:val="32"/>
        </w:rPr>
        <w:t>一交易日结算时起执行。</w:t>
      </w:r>
    </w:p>
    <w:p w14:paraId="4482BBF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交易所上市的商品期货合约临近交割期时交易保证金收取标准为：</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3240"/>
        <w:gridCol w:w="1769"/>
      </w:tblGrid>
      <w:tr w:rsidR="00F13EF7" w:rsidRPr="00D51C6A" w14:paraId="3097AACC" w14:textId="77777777" w:rsidTr="00752AC1">
        <w:trPr>
          <w:tblCellSpacing w:w="0" w:type="dxa"/>
          <w:jc w:val="center"/>
        </w:trPr>
        <w:tc>
          <w:tcPr>
            <w:tcW w:w="3240" w:type="dxa"/>
            <w:vAlign w:val="center"/>
          </w:tcPr>
          <w:p w14:paraId="667215B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交易时间段</w:t>
            </w:r>
          </w:p>
        </w:tc>
        <w:tc>
          <w:tcPr>
            <w:tcW w:w="1769" w:type="dxa"/>
            <w:vAlign w:val="center"/>
          </w:tcPr>
          <w:p w14:paraId="41B7507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交易保证金</w:t>
            </w:r>
            <w:r w:rsidRPr="00D51C6A">
              <w:rPr>
                <w:rFonts w:eastAsia="仿宋_GB2312"/>
                <w:color w:val="000000"/>
                <w:sz w:val="32"/>
                <w:szCs w:val="32"/>
              </w:rPr>
              <w:t>(</w:t>
            </w:r>
            <w:r w:rsidRPr="00D51C6A">
              <w:rPr>
                <w:rFonts w:eastAsia="仿宋_GB2312"/>
                <w:color w:val="000000"/>
                <w:sz w:val="32"/>
                <w:szCs w:val="32"/>
              </w:rPr>
              <w:t>元</w:t>
            </w:r>
            <w:r w:rsidRPr="00D51C6A">
              <w:rPr>
                <w:rFonts w:eastAsia="仿宋_GB2312"/>
                <w:color w:val="000000"/>
                <w:sz w:val="32"/>
                <w:szCs w:val="32"/>
              </w:rPr>
              <w:t>/</w:t>
            </w:r>
            <w:r w:rsidRPr="00D51C6A">
              <w:rPr>
                <w:rFonts w:eastAsia="仿宋_GB2312"/>
                <w:color w:val="000000"/>
                <w:sz w:val="32"/>
                <w:szCs w:val="32"/>
              </w:rPr>
              <w:t>手</w:t>
            </w:r>
            <w:r w:rsidRPr="00D51C6A">
              <w:rPr>
                <w:rFonts w:eastAsia="仿宋_GB2312"/>
                <w:color w:val="000000"/>
                <w:sz w:val="32"/>
                <w:szCs w:val="32"/>
              </w:rPr>
              <w:t>)</w:t>
            </w:r>
          </w:p>
        </w:tc>
      </w:tr>
      <w:tr w:rsidR="00F13EF7" w:rsidRPr="00D51C6A" w14:paraId="6A0CA4DA" w14:textId="77777777" w:rsidTr="00752AC1">
        <w:trPr>
          <w:tblCellSpacing w:w="0" w:type="dxa"/>
          <w:jc w:val="center"/>
        </w:trPr>
        <w:tc>
          <w:tcPr>
            <w:tcW w:w="3240" w:type="dxa"/>
            <w:vAlign w:val="center"/>
          </w:tcPr>
          <w:p w14:paraId="4580105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交割月份前一个月第十五个交易日</w:t>
            </w:r>
          </w:p>
        </w:tc>
        <w:tc>
          <w:tcPr>
            <w:tcW w:w="1769" w:type="dxa"/>
            <w:vAlign w:val="center"/>
          </w:tcPr>
          <w:p w14:paraId="5D00280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合约价值的</w:t>
            </w:r>
            <w:r w:rsidRPr="00D51C6A">
              <w:rPr>
                <w:rFonts w:eastAsia="仿宋_GB2312"/>
                <w:color w:val="000000"/>
                <w:sz w:val="32"/>
                <w:szCs w:val="32"/>
              </w:rPr>
              <w:t>10%</w:t>
            </w:r>
          </w:p>
        </w:tc>
      </w:tr>
      <w:tr w:rsidR="00F13EF7" w:rsidRPr="00D51C6A" w14:paraId="0F25B6EE" w14:textId="77777777" w:rsidTr="00752AC1">
        <w:trPr>
          <w:tblCellSpacing w:w="0" w:type="dxa"/>
          <w:jc w:val="center"/>
        </w:trPr>
        <w:tc>
          <w:tcPr>
            <w:tcW w:w="3240" w:type="dxa"/>
            <w:vAlign w:val="center"/>
          </w:tcPr>
          <w:p w14:paraId="021D394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交割月份第一个交易日</w:t>
            </w:r>
          </w:p>
        </w:tc>
        <w:tc>
          <w:tcPr>
            <w:tcW w:w="1769" w:type="dxa"/>
            <w:vAlign w:val="center"/>
          </w:tcPr>
          <w:p w14:paraId="362A485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合约价值的</w:t>
            </w:r>
            <w:r w:rsidRPr="00D51C6A">
              <w:rPr>
                <w:rFonts w:eastAsia="仿宋_GB2312"/>
                <w:color w:val="000000"/>
                <w:sz w:val="32"/>
                <w:szCs w:val="32"/>
              </w:rPr>
              <w:t>20%</w:t>
            </w:r>
          </w:p>
        </w:tc>
      </w:tr>
    </w:tbl>
    <w:p w14:paraId="34E78EF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第六条</w:t>
      </w:r>
      <w:r w:rsidRPr="00D51C6A">
        <w:rPr>
          <w:rFonts w:eastAsia="仿宋_GB2312"/>
          <w:color w:val="000000"/>
          <w:sz w:val="32"/>
          <w:szCs w:val="32"/>
        </w:rPr>
        <w:t xml:space="preserve"> </w:t>
      </w:r>
      <w:r w:rsidRPr="00D51C6A">
        <w:rPr>
          <w:rFonts w:eastAsia="仿宋_GB2312"/>
          <w:color w:val="000000"/>
          <w:sz w:val="32"/>
          <w:szCs w:val="32"/>
        </w:rPr>
        <w:t>交易所可根据合约持仓量的增加提高交易保证金标准，并向市场公布。</w:t>
      </w:r>
    </w:p>
    <w:p w14:paraId="3264970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第七条</w:t>
      </w:r>
      <w:r w:rsidRPr="00D51C6A">
        <w:rPr>
          <w:rFonts w:eastAsia="仿宋_GB2312"/>
          <w:color w:val="000000"/>
          <w:sz w:val="32"/>
          <w:szCs w:val="32"/>
        </w:rPr>
        <w:t xml:space="preserve"> </w:t>
      </w:r>
      <w:r w:rsidRPr="00D51C6A">
        <w:rPr>
          <w:rFonts w:eastAsia="仿宋_GB2312"/>
          <w:color w:val="000000"/>
          <w:sz w:val="32"/>
          <w:szCs w:val="32"/>
        </w:rPr>
        <w:t>交易所可以分时间段根据合约持仓量的变化调整该合约的交易保证金。</w:t>
      </w:r>
    </w:p>
    <w:p w14:paraId="58021C8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对于乙二醇期货合约，自交割月前一个月第一个交易日至该月第十四个交易日期间，若某日结算时该合约的单边持仓量达到</w:t>
      </w:r>
      <w:r w:rsidRPr="00D51C6A">
        <w:rPr>
          <w:rFonts w:eastAsia="仿宋_GB2312"/>
          <w:color w:val="000000"/>
          <w:sz w:val="32"/>
          <w:szCs w:val="32"/>
        </w:rPr>
        <w:t>120,000</w:t>
      </w:r>
      <w:r w:rsidRPr="00D51C6A">
        <w:rPr>
          <w:rFonts w:eastAsia="仿宋_GB2312"/>
          <w:color w:val="000000"/>
          <w:sz w:val="32"/>
          <w:szCs w:val="32"/>
        </w:rPr>
        <w:t>手及以上，则自当日结算时至该月第十四个交易日结算时，该合约的交易保证金按照合约价值的</w:t>
      </w:r>
      <w:r w:rsidRPr="00D51C6A">
        <w:rPr>
          <w:rFonts w:eastAsia="仿宋_GB2312"/>
          <w:color w:val="000000"/>
          <w:sz w:val="32"/>
          <w:szCs w:val="32"/>
        </w:rPr>
        <w:t>10%</w:t>
      </w:r>
      <w:r w:rsidRPr="00D51C6A">
        <w:rPr>
          <w:rFonts w:eastAsia="仿宋_GB2312"/>
          <w:color w:val="000000"/>
          <w:sz w:val="32"/>
          <w:szCs w:val="32"/>
        </w:rPr>
        <w:t>收取。自交割月前一个月第十五个交易日至该月最后一个交易日期间，若某日结算时该合约的单边持仓量达到</w:t>
      </w:r>
      <w:r w:rsidRPr="00D51C6A">
        <w:rPr>
          <w:rFonts w:eastAsia="仿宋_GB2312"/>
          <w:color w:val="000000"/>
          <w:sz w:val="32"/>
          <w:szCs w:val="32"/>
        </w:rPr>
        <w:t>80,000</w:t>
      </w:r>
      <w:r w:rsidRPr="00D51C6A">
        <w:rPr>
          <w:rFonts w:eastAsia="仿宋_GB2312"/>
          <w:color w:val="000000"/>
          <w:sz w:val="32"/>
          <w:szCs w:val="32"/>
        </w:rPr>
        <w:t>手及以上，则自当日结算时至该月最后一个交易日结算时，该</w:t>
      </w:r>
      <w:r w:rsidRPr="00D51C6A">
        <w:rPr>
          <w:rFonts w:eastAsia="仿宋_GB2312"/>
          <w:color w:val="000000"/>
          <w:sz w:val="32"/>
          <w:szCs w:val="32"/>
        </w:rPr>
        <w:lastRenderedPageBreak/>
        <w:t>合约的交易保证金按照合约价值的</w:t>
      </w:r>
      <w:r w:rsidRPr="00D51C6A">
        <w:rPr>
          <w:rFonts w:eastAsia="仿宋_GB2312"/>
          <w:color w:val="000000"/>
          <w:sz w:val="32"/>
          <w:szCs w:val="32"/>
        </w:rPr>
        <w:t>20%</w:t>
      </w:r>
      <w:r w:rsidRPr="00D51C6A">
        <w:rPr>
          <w:rFonts w:eastAsia="仿宋_GB2312"/>
          <w:color w:val="000000"/>
          <w:sz w:val="32"/>
          <w:szCs w:val="32"/>
        </w:rPr>
        <w:t>收取。</w:t>
      </w:r>
    </w:p>
    <w:p w14:paraId="640DBAC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第八条</w:t>
      </w:r>
      <w:r w:rsidRPr="00D51C6A">
        <w:rPr>
          <w:rFonts w:eastAsia="仿宋_GB2312"/>
          <w:color w:val="000000"/>
          <w:sz w:val="32"/>
          <w:szCs w:val="32"/>
        </w:rPr>
        <w:t xml:space="preserve"> </w:t>
      </w:r>
      <w:r w:rsidRPr="00D51C6A">
        <w:rPr>
          <w:rFonts w:eastAsia="仿宋_GB2312"/>
          <w:color w:val="000000"/>
          <w:sz w:val="32"/>
          <w:szCs w:val="32"/>
        </w:rPr>
        <w:t>当某期货合约出现涨跌停板的情况，则该期货合约的交易保证金按本办法第三章的有关规定执行。</w:t>
      </w:r>
    </w:p>
    <w:p w14:paraId="7DC3BD5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第九条</w:t>
      </w:r>
      <w:r w:rsidRPr="00D51C6A">
        <w:rPr>
          <w:rFonts w:eastAsia="仿宋_GB2312"/>
          <w:color w:val="000000"/>
          <w:sz w:val="32"/>
          <w:szCs w:val="32"/>
        </w:rPr>
        <w:t xml:space="preserve"> </w:t>
      </w:r>
      <w:r w:rsidRPr="00D51C6A">
        <w:rPr>
          <w:rFonts w:eastAsia="仿宋_GB2312"/>
          <w:color w:val="000000"/>
          <w:sz w:val="32"/>
          <w:szCs w:val="32"/>
        </w:rPr>
        <w:t>当某期货合约连续三个交易日按结算价计算的涨（跌）幅之和达到合约规定的最大涨跌幅的</w:t>
      </w:r>
      <w:r w:rsidRPr="00D51C6A">
        <w:rPr>
          <w:rFonts w:eastAsia="仿宋_GB2312"/>
          <w:color w:val="000000"/>
          <w:sz w:val="32"/>
          <w:szCs w:val="32"/>
        </w:rPr>
        <w:t>2</w:t>
      </w:r>
      <w:r w:rsidRPr="00D51C6A">
        <w:rPr>
          <w:rFonts w:eastAsia="仿宋_GB2312"/>
          <w:color w:val="000000"/>
          <w:sz w:val="32"/>
          <w:szCs w:val="32"/>
        </w:rPr>
        <w:t>倍，连续四个交易日按结算价计算的涨（跌）幅之和达到合约规定的最大涨跌幅的</w:t>
      </w:r>
      <w:r w:rsidRPr="00D51C6A">
        <w:rPr>
          <w:rFonts w:eastAsia="仿宋_GB2312"/>
          <w:color w:val="000000"/>
          <w:sz w:val="32"/>
          <w:szCs w:val="32"/>
        </w:rPr>
        <w:t>2.5</w:t>
      </w:r>
      <w:r w:rsidRPr="00D51C6A">
        <w:rPr>
          <w:rFonts w:eastAsia="仿宋_GB2312"/>
          <w:color w:val="000000"/>
          <w:sz w:val="32"/>
          <w:szCs w:val="32"/>
        </w:rPr>
        <w:t>倍，连续五个交易日按结算价计算的涨（跌）幅之和达到合约规定的最大涨跌幅的</w:t>
      </w:r>
      <w:r w:rsidRPr="00D51C6A">
        <w:rPr>
          <w:rFonts w:eastAsia="仿宋_GB2312"/>
          <w:color w:val="000000"/>
          <w:sz w:val="32"/>
          <w:szCs w:val="32"/>
        </w:rPr>
        <w:t>3</w:t>
      </w:r>
      <w:r w:rsidRPr="00D51C6A">
        <w:rPr>
          <w:rFonts w:eastAsia="仿宋_GB2312"/>
          <w:color w:val="000000"/>
          <w:sz w:val="32"/>
          <w:szCs w:val="32"/>
        </w:rPr>
        <w:t>倍时，交易所有权根据市场情况，采取单边或双边、同比例或不同比例、部分会员或全部会员提高交易保证金的措施。提高交易保证金的幅度不高于合约规定交易保证金的</w:t>
      </w:r>
      <w:r w:rsidRPr="00D51C6A">
        <w:rPr>
          <w:rFonts w:eastAsia="仿宋_GB2312"/>
          <w:color w:val="000000"/>
          <w:sz w:val="32"/>
          <w:szCs w:val="32"/>
        </w:rPr>
        <w:t>1</w:t>
      </w:r>
      <w:r w:rsidRPr="00D51C6A">
        <w:rPr>
          <w:rFonts w:eastAsia="仿宋_GB2312"/>
          <w:color w:val="000000"/>
          <w:sz w:val="32"/>
          <w:szCs w:val="32"/>
        </w:rPr>
        <w:t>倍。</w:t>
      </w:r>
    </w:p>
    <w:p w14:paraId="5944546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交易所采取上述措施须事先报告中国证监会。</w:t>
      </w:r>
    </w:p>
    <w:p w14:paraId="2D67C9E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第十条</w:t>
      </w:r>
      <w:r w:rsidRPr="00D51C6A">
        <w:rPr>
          <w:rFonts w:eastAsia="仿宋_GB2312"/>
          <w:color w:val="000000"/>
          <w:sz w:val="32"/>
          <w:szCs w:val="32"/>
        </w:rPr>
        <w:t xml:space="preserve"> </w:t>
      </w:r>
      <w:r w:rsidRPr="00D51C6A">
        <w:rPr>
          <w:rFonts w:eastAsia="仿宋_GB2312"/>
          <w:color w:val="000000"/>
          <w:sz w:val="32"/>
          <w:szCs w:val="32"/>
        </w:rPr>
        <w:t>如遇法定节假日休市时间较长，交易所可以根据市场情况在休市前调整合约交易保证金标准和涨跌停板幅度。</w:t>
      </w:r>
    </w:p>
    <w:p w14:paraId="01B9FA91"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第十一条</w:t>
      </w:r>
      <w:r w:rsidRPr="00D51C6A">
        <w:rPr>
          <w:rFonts w:eastAsia="仿宋_GB2312"/>
          <w:color w:val="000000"/>
          <w:sz w:val="32"/>
          <w:szCs w:val="32"/>
        </w:rPr>
        <w:t xml:space="preserve"> </w:t>
      </w:r>
      <w:r w:rsidRPr="00D51C6A">
        <w:rPr>
          <w:rFonts w:eastAsia="仿宋_GB2312"/>
          <w:color w:val="000000"/>
          <w:sz w:val="32"/>
          <w:szCs w:val="32"/>
        </w:rPr>
        <w:t>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14:paraId="56CE370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适用于组合持仓的品种、合约、组合类型、组合方式、</w:t>
      </w:r>
      <w:r w:rsidRPr="00D51C6A">
        <w:rPr>
          <w:rFonts w:eastAsia="仿宋_GB2312"/>
          <w:color w:val="000000"/>
          <w:sz w:val="32"/>
          <w:szCs w:val="32"/>
        </w:rPr>
        <w:lastRenderedPageBreak/>
        <w:t>组合优先级、交易保证金标准等，由交易所另行公布。交易所可以根据市场情况进行调整。</w:t>
      </w:r>
    </w:p>
    <w:p w14:paraId="4021399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第十二条</w:t>
      </w:r>
      <w:r w:rsidRPr="00D51C6A">
        <w:rPr>
          <w:rFonts w:eastAsia="仿宋_GB2312"/>
          <w:color w:val="000000"/>
          <w:sz w:val="32"/>
          <w:szCs w:val="32"/>
        </w:rPr>
        <w:t xml:space="preserve"> </w:t>
      </w:r>
      <w:r w:rsidRPr="00D51C6A">
        <w:rPr>
          <w:rFonts w:eastAsia="仿宋_GB2312"/>
          <w:color w:val="000000"/>
          <w:sz w:val="32"/>
          <w:szCs w:val="32"/>
        </w:rPr>
        <w:t>交易期间建立的组合持仓，按前一个交易日结算时的组合持仓交易保证金标准收取保证金，保证金不足的按照《大连商品交易所结算管理办法》等规则规定执行。</w:t>
      </w:r>
    </w:p>
    <w:p w14:paraId="55AC56D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结算时，交易所对组合持仓按照当日公布的组合持仓交易保证金标准收取保证金。</w:t>
      </w:r>
    </w:p>
    <w:p w14:paraId="4F8C33E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第十三条</w:t>
      </w:r>
      <w:r w:rsidRPr="00D51C6A">
        <w:rPr>
          <w:rFonts w:eastAsia="仿宋_GB2312"/>
          <w:color w:val="000000"/>
          <w:sz w:val="32"/>
          <w:szCs w:val="32"/>
        </w:rPr>
        <w:t xml:space="preserve">  </w:t>
      </w:r>
      <w:r w:rsidRPr="00D51C6A">
        <w:rPr>
          <w:rFonts w:eastAsia="仿宋_GB2312"/>
          <w:color w:val="000000"/>
          <w:sz w:val="32"/>
          <w:szCs w:val="32"/>
        </w:rPr>
        <w:t>同一交易编码持仓平仓，交易所在计算保证金时</w:t>
      </w:r>
      <w:r w:rsidRPr="00D51C6A">
        <w:rPr>
          <w:rFonts w:eastAsia="仿宋_GB2312"/>
          <w:color w:val="000000"/>
          <w:sz w:val="32"/>
          <w:szCs w:val="32"/>
        </w:rPr>
        <w:t>,</w:t>
      </w:r>
      <w:r w:rsidRPr="00D51C6A">
        <w:rPr>
          <w:rFonts w:eastAsia="仿宋_GB2312"/>
          <w:color w:val="000000"/>
          <w:sz w:val="32"/>
          <w:szCs w:val="32"/>
        </w:rPr>
        <w:t>视为</w:t>
      </w:r>
      <w:proofErr w:type="gramStart"/>
      <w:r w:rsidRPr="00D51C6A">
        <w:rPr>
          <w:rFonts w:eastAsia="仿宋_GB2312"/>
          <w:color w:val="000000"/>
          <w:sz w:val="32"/>
          <w:szCs w:val="32"/>
        </w:rPr>
        <w:t>先平非组合</w:t>
      </w:r>
      <w:proofErr w:type="gramEnd"/>
      <w:r w:rsidRPr="00D51C6A">
        <w:rPr>
          <w:rFonts w:eastAsia="仿宋_GB2312"/>
          <w:color w:val="000000"/>
          <w:sz w:val="32"/>
          <w:szCs w:val="32"/>
        </w:rPr>
        <w:t>持仓后平组合持仓，组合持仓内部按照组合优先级从低到高顺序进行平仓。</w:t>
      </w:r>
    </w:p>
    <w:p w14:paraId="50B0B8F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第十四条</w:t>
      </w:r>
      <w:r w:rsidRPr="00D51C6A">
        <w:rPr>
          <w:rFonts w:eastAsia="仿宋_GB2312"/>
          <w:color w:val="000000"/>
          <w:sz w:val="32"/>
          <w:szCs w:val="32"/>
        </w:rPr>
        <w:t xml:space="preserve"> </w:t>
      </w:r>
      <w:r w:rsidRPr="00D51C6A">
        <w:rPr>
          <w:rFonts w:eastAsia="仿宋_GB2312"/>
          <w:color w:val="000000"/>
          <w:sz w:val="32"/>
          <w:szCs w:val="32"/>
        </w:rPr>
        <w:t>对同时满足本办法有关调整交易保证金规定的合约，其交易保证金按照规定交易保证金数值中的较大值收取。</w:t>
      </w:r>
    </w:p>
    <w:p w14:paraId="26B448C7"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第三章 涨跌停板制度</w:t>
      </w:r>
    </w:p>
    <w:p w14:paraId="6D58AF7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第十五条</w:t>
      </w:r>
      <w:r w:rsidRPr="00D51C6A">
        <w:rPr>
          <w:rFonts w:eastAsia="仿宋_GB2312"/>
          <w:color w:val="000000"/>
          <w:sz w:val="32"/>
          <w:szCs w:val="32"/>
        </w:rPr>
        <w:t xml:space="preserve"> </w:t>
      </w:r>
      <w:r w:rsidRPr="00D51C6A">
        <w:rPr>
          <w:rFonts w:eastAsia="仿宋_GB2312"/>
          <w:color w:val="000000"/>
          <w:sz w:val="32"/>
          <w:szCs w:val="32"/>
        </w:rPr>
        <w:t>交易所实行价格涨跌停板制度，由交易所制定各期货合约的每日最大价格波动幅度。交易所可以根据市场情况调整各合约涨跌停板幅度。</w:t>
      </w:r>
    </w:p>
    <w:p w14:paraId="7E514D4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对同时满足本办法有关调整涨跌停板幅度规定的合约，其涨跌停板幅度按照规定涨跌停板幅度数值中的较大值确定。</w:t>
      </w:r>
    </w:p>
    <w:p w14:paraId="100DF11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第十六条</w:t>
      </w:r>
      <w:r w:rsidRPr="00D51C6A">
        <w:rPr>
          <w:rFonts w:eastAsia="仿宋_GB2312"/>
          <w:color w:val="000000"/>
          <w:sz w:val="32"/>
          <w:szCs w:val="32"/>
        </w:rPr>
        <w:t xml:space="preserve"> </w:t>
      </w:r>
      <w:r w:rsidRPr="00D51C6A">
        <w:rPr>
          <w:rFonts w:eastAsia="仿宋_GB2312"/>
          <w:color w:val="000000"/>
          <w:sz w:val="32"/>
          <w:szCs w:val="32"/>
        </w:rPr>
        <w:t>各品种期货合约交割月份以前的月份涨跌停板幅度为上一交易日结算价的</w:t>
      </w:r>
      <w:r w:rsidRPr="00D51C6A">
        <w:rPr>
          <w:rFonts w:eastAsia="仿宋_GB2312"/>
          <w:color w:val="000000"/>
          <w:sz w:val="32"/>
          <w:szCs w:val="32"/>
        </w:rPr>
        <w:t>4%</w:t>
      </w:r>
      <w:r w:rsidRPr="00D51C6A">
        <w:rPr>
          <w:rFonts w:eastAsia="仿宋_GB2312"/>
          <w:color w:val="000000"/>
          <w:sz w:val="32"/>
          <w:szCs w:val="32"/>
        </w:rPr>
        <w:t>，交割月份的涨跌停板幅</w:t>
      </w:r>
      <w:r w:rsidRPr="00D51C6A">
        <w:rPr>
          <w:rFonts w:eastAsia="仿宋_GB2312"/>
          <w:color w:val="000000"/>
          <w:sz w:val="32"/>
          <w:szCs w:val="32"/>
        </w:rPr>
        <w:lastRenderedPageBreak/>
        <w:t>度为上一交易日结算价的</w:t>
      </w:r>
      <w:r w:rsidRPr="00D51C6A">
        <w:rPr>
          <w:rFonts w:eastAsia="仿宋_GB2312"/>
          <w:color w:val="000000"/>
          <w:sz w:val="32"/>
          <w:szCs w:val="32"/>
        </w:rPr>
        <w:t>6%</w:t>
      </w:r>
      <w:r w:rsidRPr="00D51C6A">
        <w:rPr>
          <w:rFonts w:eastAsia="仿宋_GB2312"/>
          <w:color w:val="000000"/>
          <w:sz w:val="32"/>
          <w:szCs w:val="32"/>
        </w:rPr>
        <w:t>。</w:t>
      </w:r>
    </w:p>
    <w:p w14:paraId="01E79D1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14:paraId="2D8112C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第十七条</w:t>
      </w:r>
      <w:r w:rsidRPr="00D51C6A">
        <w:rPr>
          <w:rFonts w:eastAsia="仿宋_GB2312"/>
          <w:color w:val="000000"/>
          <w:sz w:val="32"/>
          <w:szCs w:val="32"/>
        </w:rPr>
        <w:t xml:space="preserve"> </w:t>
      </w:r>
      <w:r w:rsidRPr="00D51C6A">
        <w:rPr>
          <w:rFonts w:eastAsia="仿宋_GB2312"/>
          <w:color w:val="000000"/>
          <w:sz w:val="32"/>
          <w:szCs w:val="32"/>
        </w:rPr>
        <w:t>当某期货合约以涨跌停板价格申报时，成交撮合原则实行平仓优先和时间优先的原则。</w:t>
      </w:r>
    </w:p>
    <w:p w14:paraId="4BBA3D5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第十八条</w:t>
      </w:r>
      <w:r w:rsidRPr="00D51C6A">
        <w:rPr>
          <w:rFonts w:eastAsia="仿宋_GB2312"/>
          <w:color w:val="000000"/>
          <w:sz w:val="32"/>
          <w:szCs w:val="32"/>
        </w:rPr>
        <w:t xml:space="preserve"> </w:t>
      </w:r>
      <w:r w:rsidRPr="00D51C6A">
        <w:rPr>
          <w:rFonts w:eastAsia="仿宋_GB2312"/>
          <w:color w:val="000000"/>
          <w:sz w:val="32"/>
          <w:szCs w:val="32"/>
        </w:rPr>
        <w:t>涨</w:t>
      </w:r>
      <w:r w:rsidRPr="00D51C6A">
        <w:rPr>
          <w:rFonts w:eastAsia="仿宋_GB2312"/>
          <w:color w:val="000000"/>
          <w:sz w:val="32"/>
          <w:szCs w:val="32"/>
        </w:rPr>
        <w:t>(</w:t>
      </w:r>
      <w:r w:rsidRPr="00D51C6A">
        <w:rPr>
          <w:rFonts w:eastAsia="仿宋_GB2312"/>
          <w:color w:val="000000"/>
          <w:sz w:val="32"/>
          <w:szCs w:val="32"/>
        </w:rPr>
        <w:t>跌</w:t>
      </w:r>
      <w:r w:rsidRPr="00D51C6A">
        <w:rPr>
          <w:rFonts w:eastAsia="仿宋_GB2312"/>
          <w:color w:val="000000"/>
          <w:sz w:val="32"/>
          <w:szCs w:val="32"/>
        </w:rPr>
        <w:t>)</w:t>
      </w:r>
      <w:r w:rsidRPr="00D51C6A">
        <w:rPr>
          <w:rFonts w:eastAsia="仿宋_GB2312"/>
          <w:color w:val="000000"/>
          <w:sz w:val="32"/>
          <w:szCs w:val="32"/>
        </w:rPr>
        <w:t>停板单边无连续报价是指某一期货合约在某一交易日收市前</w:t>
      </w:r>
      <w:r w:rsidRPr="00D51C6A">
        <w:rPr>
          <w:rFonts w:eastAsia="仿宋_GB2312"/>
          <w:color w:val="000000"/>
          <w:sz w:val="32"/>
          <w:szCs w:val="32"/>
        </w:rPr>
        <w:t>5</w:t>
      </w:r>
      <w:r w:rsidRPr="00D51C6A">
        <w:rPr>
          <w:rFonts w:eastAsia="仿宋_GB2312"/>
          <w:color w:val="000000"/>
          <w:sz w:val="32"/>
          <w:szCs w:val="32"/>
        </w:rPr>
        <w:t>分钟内出现只有停板价位的买入</w:t>
      </w:r>
      <w:r w:rsidRPr="00D51C6A">
        <w:rPr>
          <w:rFonts w:eastAsia="仿宋_GB2312"/>
          <w:color w:val="000000"/>
          <w:sz w:val="32"/>
          <w:szCs w:val="32"/>
        </w:rPr>
        <w:t>(</w:t>
      </w:r>
      <w:r w:rsidRPr="00D51C6A">
        <w:rPr>
          <w:rFonts w:eastAsia="仿宋_GB2312"/>
          <w:color w:val="000000"/>
          <w:sz w:val="32"/>
          <w:szCs w:val="32"/>
        </w:rPr>
        <w:t>卖出</w:t>
      </w:r>
      <w:r w:rsidRPr="00D51C6A">
        <w:rPr>
          <w:rFonts w:eastAsia="仿宋_GB2312"/>
          <w:color w:val="000000"/>
          <w:sz w:val="32"/>
          <w:szCs w:val="32"/>
        </w:rPr>
        <w:t>)</w:t>
      </w:r>
      <w:r w:rsidRPr="00D51C6A">
        <w:rPr>
          <w:rFonts w:eastAsia="仿宋_GB2312"/>
          <w:color w:val="000000"/>
          <w:sz w:val="32"/>
          <w:szCs w:val="32"/>
        </w:rPr>
        <w:t>申报、没有停板价位的卖出</w:t>
      </w:r>
      <w:r w:rsidRPr="00D51C6A">
        <w:rPr>
          <w:rFonts w:eastAsia="仿宋_GB2312"/>
          <w:color w:val="000000"/>
          <w:sz w:val="32"/>
          <w:szCs w:val="32"/>
        </w:rPr>
        <w:t>(</w:t>
      </w:r>
      <w:r w:rsidRPr="00D51C6A">
        <w:rPr>
          <w:rFonts w:eastAsia="仿宋_GB2312"/>
          <w:color w:val="000000"/>
          <w:sz w:val="32"/>
          <w:szCs w:val="32"/>
        </w:rPr>
        <w:t>买入</w:t>
      </w:r>
      <w:r w:rsidRPr="00D51C6A">
        <w:rPr>
          <w:rFonts w:eastAsia="仿宋_GB2312"/>
          <w:color w:val="000000"/>
          <w:sz w:val="32"/>
          <w:szCs w:val="32"/>
        </w:rPr>
        <w:t>)</w:t>
      </w:r>
      <w:r w:rsidRPr="00D51C6A">
        <w:rPr>
          <w:rFonts w:eastAsia="仿宋_GB2312"/>
          <w:color w:val="000000"/>
          <w:sz w:val="32"/>
          <w:szCs w:val="32"/>
        </w:rPr>
        <w:t>申报</w:t>
      </w:r>
      <w:r w:rsidRPr="00D51C6A">
        <w:rPr>
          <w:rFonts w:eastAsia="仿宋_GB2312"/>
          <w:color w:val="000000"/>
          <w:sz w:val="32"/>
          <w:szCs w:val="32"/>
        </w:rPr>
        <w:t>,</w:t>
      </w:r>
      <w:r w:rsidRPr="00D51C6A">
        <w:rPr>
          <w:rFonts w:eastAsia="仿宋_GB2312"/>
          <w:color w:val="000000"/>
          <w:sz w:val="32"/>
          <w:szCs w:val="32"/>
        </w:rPr>
        <w:t>或者一有卖出</w:t>
      </w:r>
      <w:r w:rsidRPr="00D51C6A">
        <w:rPr>
          <w:rFonts w:eastAsia="仿宋_GB2312"/>
          <w:color w:val="000000"/>
          <w:sz w:val="32"/>
          <w:szCs w:val="32"/>
        </w:rPr>
        <w:t>(</w:t>
      </w:r>
      <w:r w:rsidRPr="00D51C6A">
        <w:rPr>
          <w:rFonts w:eastAsia="仿宋_GB2312"/>
          <w:color w:val="000000"/>
          <w:sz w:val="32"/>
          <w:szCs w:val="32"/>
        </w:rPr>
        <w:t>买入</w:t>
      </w:r>
      <w:r w:rsidRPr="00D51C6A">
        <w:rPr>
          <w:rFonts w:eastAsia="仿宋_GB2312"/>
          <w:color w:val="000000"/>
          <w:sz w:val="32"/>
          <w:szCs w:val="32"/>
        </w:rPr>
        <w:t>)</w:t>
      </w:r>
      <w:r w:rsidRPr="00D51C6A">
        <w:rPr>
          <w:rFonts w:eastAsia="仿宋_GB2312"/>
          <w:color w:val="000000"/>
          <w:sz w:val="32"/>
          <w:szCs w:val="32"/>
        </w:rPr>
        <w:t>申报就成交、但未打开停板价位的情况。</w:t>
      </w:r>
    </w:p>
    <w:p w14:paraId="42CF929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第十九条</w:t>
      </w:r>
      <w:r w:rsidRPr="00D51C6A">
        <w:rPr>
          <w:rFonts w:eastAsia="仿宋_GB2312"/>
          <w:color w:val="000000"/>
          <w:sz w:val="32"/>
          <w:szCs w:val="32"/>
        </w:rPr>
        <w:t xml:space="preserve"> </w:t>
      </w:r>
      <w:r w:rsidRPr="00D51C6A">
        <w:rPr>
          <w:rFonts w:eastAsia="仿宋_GB2312"/>
          <w:color w:val="000000"/>
          <w:sz w:val="32"/>
          <w:szCs w:val="32"/>
        </w:rPr>
        <w:t>当交易所上市的商品期货合约在某一交易日（该交易日记为第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交易日，之后第</w:t>
      </w:r>
      <w:r w:rsidRPr="00D51C6A">
        <w:rPr>
          <w:rFonts w:eastAsia="仿宋_GB2312"/>
          <w:color w:val="000000"/>
          <w:sz w:val="32"/>
          <w:szCs w:val="32"/>
        </w:rPr>
        <w:t>1</w:t>
      </w:r>
      <w:r w:rsidRPr="00D51C6A">
        <w:rPr>
          <w:rFonts w:eastAsia="仿宋_GB2312"/>
          <w:color w:val="000000"/>
          <w:sz w:val="32"/>
          <w:szCs w:val="32"/>
        </w:rPr>
        <w:t>个、第</w:t>
      </w:r>
      <w:r w:rsidRPr="00D51C6A">
        <w:rPr>
          <w:rFonts w:eastAsia="仿宋_GB2312"/>
          <w:color w:val="000000"/>
          <w:sz w:val="32"/>
          <w:szCs w:val="32"/>
        </w:rPr>
        <w:t>2</w:t>
      </w:r>
      <w:r w:rsidRPr="00D51C6A">
        <w:rPr>
          <w:rFonts w:eastAsia="仿宋_GB2312"/>
          <w:color w:val="000000"/>
          <w:sz w:val="32"/>
          <w:szCs w:val="32"/>
        </w:rPr>
        <w:t>个、第</w:t>
      </w:r>
      <w:r w:rsidRPr="00D51C6A">
        <w:rPr>
          <w:rFonts w:eastAsia="仿宋_GB2312"/>
          <w:color w:val="000000"/>
          <w:sz w:val="32"/>
          <w:szCs w:val="32"/>
        </w:rPr>
        <w:t>3</w:t>
      </w:r>
      <w:r w:rsidRPr="00D51C6A">
        <w:rPr>
          <w:rFonts w:eastAsia="仿宋_GB2312"/>
          <w:color w:val="000000"/>
          <w:sz w:val="32"/>
          <w:szCs w:val="32"/>
        </w:rPr>
        <w:t>个交易日分别记为第</w:t>
      </w:r>
      <w:r w:rsidRPr="00D51C6A">
        <w:rPr>
          <w:rFonts w:eastAsia="仿宋_GB2312"/>
          <w:color w:val="000000"/>
          <w:sz w:val="32"/>
          <w:szCs w:val="32"/>
        </w:rPr>
        <w:t>N+1</w:t>
      </w:r>
      <w:r w:rsidRPr="00D51C6A">
        <w:rPr>
          <w:rFonts w:eastAsia="仿宋_GB2312"/>
          <w:color w:val="000000"/>
          <w:sz w:val="32"/>
          <w:szCs w:val="32"/>
        </w:rPr>
        <w:t>、第</w:t>
      </w:r>
      <w:r w:rsidRPr="00D51C6A">
        <w:rPr>
          <w:rFonts w:eastAsia="仿宋_GB2312"/>
          <w:color w:val="000000"/>
          <w:sz w:val="32"/>
          <w:szCs w:val="32"/>
        </w:rPr>
        <w:t>N+2</w:t>
      </w:r>
      <w:r w:rsidRPr="00D51C6A">
        <w:rPr>
          <w:rFonts w:eastAsia="仿宋_GB2312"/>
          <w:color w:val="000000"/>
          <w:sz w:val="32"/>
          <w:szCs w:val="32"/>
        </w:rPr>
        <w:t>、第</w:t>
      </w:r>
      <w:r w:rsidRPr="00D51C6A">
        <w:rPr>
          <w:rFonts w:eastAsia="仿宋_GB2312"/>
          <w:color w:val="000000"/>
          <w:sz w:val="32"/>
          <w:szCs w:val="32"/>
        </w:rPr>
        <w:t>N+3</w:t>
      </w:r>
      <w:r w:rsidRPr="00D51C6A">
        <w:rPr>
          <w:rFonts w:eastAsia="仿宋_GB2312"/>
          <w:color w:val="000000"/>
          <w:sz w:val="32"/>
          <w:szCs w:val="32"/>
        </w:rPr>
        <w:t>个交易日，以此类推）出现涨跌停板单边无连续报价的情况，则该</w:t>
      </w:r>
      <w:proofErr w:type="gramStart"/>
      <w:r w:rsidRPr="00D51C6A">
        <w:rPr>
          <w:rFonts w:eastAsia="仿宋_GB2312"/>
          <w:color w:val="000000"/>
          <w:sz w:val="32"/>
          <w:szCs w:val="32"/>
        </w:rPr>
        <w:t>合约第</w:t>
      </w:r>
      <w:proofErr w:type="gramEnd"/>
      <w:r w:rsidRPr="00D51C6A">
        <w:rPr>
          <w:rFonts w:eastAsia="仿宋_GB2312"/>
          <w:color w:val="000000"/>
          <w:sz w:val="32"/>
          <w:szCs w:val="32"/>
        </w:rPr>
        <w:t>N+1</w:t>
      </w:r>
      <w:r w:rsidRPr="00D51C6A">
        <w:rPr>
          <w:rFonts w:eastAsia="仿宋_GB2312"/>
          <w:color w:val="000000"/>
          <w:sz w:val="32"/>
          <w:szCs w:val="32"/>
        </w:rPr>
        <w:t>个交易日涨跌停板幅度在第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交易日涨跌停板幅度的基础上增加</w:t>
      </w:r>
      <w:r w:rsidRPr="00D51C6A">
        <w:rPr>
          <w:rFonts w:eastAsia="仿宋_GB2312"/>
          <w:color w:val="000000"/>
          <w:sz w:val="32"/>
          <w:szCs w:val="32"/>
        </w:rPr>
        <w:t>3</w:t>
      </w:r>
      <w:r w:rsidRPr="00D51C6A">
        <w:rPr>
          <w:rFonts w:eastAsia="仿宋_GB2312"/>
          <w:color w:val="000000"/>
          <w:sz w:val="32"/>
          <w:szCs w:val="32"/>
        </w:rPr>
        <w:t>个百分点（例，如果第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交易日涨跌停板幅度为前一交易日结算价的</w:t>
      </w:r>
      <w:r w:rsidRPr="00D51C6A">
        <w:rPr>
          <w:rFonts w:eastAsia="仿宋_GB2312"/>
          <w:color w:val="000000"/>
          <w:sz w:val="32"/>
          <w:szCs w:val="32"/>
        </w:rPr>
        <w:t>4%</w:t>
      </w:r>
      <w:r w:rsidRPr="00D51C6A">
        <w:rPr>
          <w:rFonts w:eastAsia="仿宋_GB2312"/>
          <w:color w:val="000000"/>
          <w:sz w:val="32"/>
          <w:szCs w:val="32"/>
        </w:rPr>
        <w:t>，则第</w:t>
      </w:r>
      <w:r w:rsidRPr="00D51C6A">
        <w:rPr>
          <w:rFonts w:eastAsia="仿宋_GB2312"/>
          <w:color w:val="000000"/>
          <w:sz w:val="32"/>
          <w:szCs w:val="32"/>
        </w:rPr>
        <w:t>N+1</w:t>
      </w:r>
      <w:r w:rsidRPr="00D51C6A">
        <w:rPr>
          <w:rFonts w:eastAsia="仿宋_GB2312"/>
          <w:color w:val="000000"/>
          <w:sz w:val="32"/>
          <w:szCs w:val="32"/>
        </w:rPr>
        <w:t>个交易日涨跌停板幅度则为第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交易日结算价的</w:t>
      </w:r>
      <w:r w:rsidRPr="00D51C6A">
        <w:rPr>
          <w:rFonts w:eastAsia="仿宋_GB2312"/>
          <w:color w:val="000000"/>
          <w:sz w:val="32"/>
          <w:szCs w:val="32"/>
        </w:rPr>
        <w:t>7%</w:t>
      </w:r>
      <w:r w:rsidRPr="00D51C6A">
        <w:rPr>
          <w:rFonts w:eastAsia="仿宋_GB2312"/>
          <w:color w:val="000000"/>
          <w:sz w:val="32"/>
          <w:szCs w:val="32"/>
        </w:rPr>
        <w:t>，下同）。第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交易日结算时，该合约交易保证金标准为在第</w:t>
      </w:r>
      <w:r w:rsidRPr="00D51C6A">
        <w:rPr>
          <w:rFonts w:eastAsia="仿宋_GB2312"/>
          <w:color w:val="000000"/>
          <w:sz w:val="32"/>
          <w:szCs w:val="32"/>
        </w:rPr>
        <w:t>N+1</w:t>
      </w:r>
      <w:r w:rsidRPr="00D51C6A">
        <w:rPr>
          <w:rFonts w:eastAsia="仿宋_GB2312"/>
          <w:color w:val="000000"/>
          <w:sz w:val="32"/>
          <w:szCs w:val="32"/>
        </w:rPr>
        <w:t>个交易日涨跌停板幅度的基础上增加</w:t>
      </w:r>
      <w:r w:rsidRPr="00D51C6A">
        <w:rPr>
          <w:rFonts w:eastAsia="仿宋_GB2312"/>
          <w:color w:val="000000"/>
          <w:sz w:val="32"/>
          <w:szCs w:val="32"/>
        </w:rPr>
        <w:t>2</w:t>
      </w:r>
      <w:r w:rsidRPr="00D51C6A">
        <w:rPr>
          <w:rFonts w:eastAsia="仿宋_GB2312"/>
          <w:color w:val="000000"/>
          <w:sz w:val="32"/>
          <w:szCs w:val="32"/>
        </w:rPr>
        <w:t>个百分点（例，如果第</w:t>
      </w:r>
      <w:r w:rsidRPr="00D51C6A">
        <w:rPr>
          <w:rFonts w:eastAsia="仿宋_GB2312"/>
          <w:color w:val="000000"/>
          <w:sz w:val="32"/>
          <w:szCs w:val="32"/>
        </w:rPr>
        <w:t>N+1</w:t>
      </w:r>
      <w:r w:rsidRPr="00D51C6A">
        <w:rPr>
          <w:rFonts w:eastAsia="仿宋_GB2312"/>
          <w:color w:val="000000"/>
          <w:sz w:val="32"/>
          <w:szCs w:val="32"/>
        </w:rPr>
        <w:t>个交易日涨跌停板幅度为第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交易日结算价的</w:t>
      </w:r>
      <w:r w:rsidRPr="00D51C6A">
        <w:rPr>
          <w:rFonts w:eastAsia="仿宋_GB2312"/>
          <w:color w:val="000000"/>
          <w:sz w:val="32"/>
          <w:szCs w:val="32"/>
        </w:rPr>
        <w:t>7%</w:t>
      </w:r>
      <w:r w:rsidRPr="00D51C6A">
        <w:rPr>
          <w:rFonts w:eastAsia="仿宋_GB2312"/>
          <w:color w:val="000000"/>
          <w:sz w:val="32"/>
          <w:szCs w:val="32"/>
        </w:rPr>
        <w:t>，则第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w:t>
      </w:r>
      <w:r w:rsidRPr="00D51C6A">
        <w:rPr>
          <w:rFonts w:eastAsia="仿宋_GB2312"/>
          <w:color w:val="000000"/>
          <w:sz w:val="32"/>
          <w:szCs w:val="32"/>
        </w:rPr>
        <w:lastRenderedPageBreak/>
        <w:t>日结算时，该合约保证金标准为合约价值的</w:t>
      </w:r>
      <w:r w:rsidRPr="00D51C6A">
        <w:rPr>
          <w:rFonts w:eastAsia="仿宋_GB2312"/>
          <w:color w:val="000000"/>
          <w:sz w:val="32"/>
          <w:szCs w:val="32"/>
        </w:rPr>
        <w:t>9%</w:t>
      </w:r>
      <w:r w:rsidRPr="00D51C6A">
        <w:rPr>
          <w:rFonts w:eastAsia="仿宋_GB2312"/>
          <w:color w:val="000000"/>
          <w:sz w:val="32"/>
          <w:szCs w:val="32"/>
        </w:rPr>
        <w:t>，下同）。若该合约调整后的交易保证金标准低于第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交易日前一交易日结算时的交易保证金标准，则按第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交易日前一交易日结算时该合约交易保证金标准收取；若第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交易日为该合约上市挂盘后第</w:t>
      </w:r>
      <w:r w:rsidRPr="00D51C6A">
        <w:rPr>
          <w:rFonts w:eastAsia="仿宋_GB2312"/>
          <w:color w:val="000000"/>
          <w:sz w:val="32"/>
          <w:szCs w:val="32"/>
        </w:rPr>
        <w:t>1</w:t>
      </w:r>
      <w:r w:rsidRPr="00D51C6A">
        <w:rPr>
          <w:rFonts w:eastAsia="仿宋_GB2312"/>
          <w:color w:val="000000"/>
          <w:sz w:val="32"/>
          <w:szCs w:val="32"/>
        </w:rPr>
        <w:t>个交易日，则该合约上市挂盘当日交易保证金标准视为该</w:t>
      </w:r>
      <w:proofErr w:type="gramStart"/>
      <w:r w:rsidRPr="00D51C6A">
        <w:rPr>
          <w:rFonts w:eastAsia="仿宋_GB2312"/>
          <w:color w:val="000000"/>
          <w:sz w:val="32"/>
          <w:szCs w:val="32"/>
        </w:rPr>
        <w:t>合约第</w:t>
      </w:r>
      <w:proofErr w:type="gramEnd"/>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交易日前一交易日结算时的交易保证金标准。</w:t>
      </w:r>
    </w:p>
    <w:p w14:paraId="3038555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若第</w:t>
      </w:r>
      <w:r w:rsidRPr="00D51C6A">
        <w:rPr>
          <w:rFonts w:eastAsia="仿宋_GB2312"/>
          <w:color w:val="000000"/>
          <w:sz w:val="32"/>
          <w:szCs w:val="32"/>
        </w:rPr>
        <w:t>N+1</w:t>
      </w:r>
      <w:r w:rsidRPr="00D51C6A">
        <w:rPr>
          <w:rFonts w:eastAsia="仿宋_GB2312"/>
          <w:color w:val="000000"/>
          <w:sz w:val="32"/>
          <w:szCs w:val="32"/>
        </w:rPr>
        <w:t>个交易日出现与第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交易日同方向涨跌停板单边无连续报价的情况，则该</w:t>
      </w:r>
      <w:proofErr w:type="gramStart"/>
      <w:r w:rsidRPr="00D51C6A">
        <w:rPr>
          <w:rFonts w:eastAsia="仿宋_GB2312"/>
          <w:color w:val="000000"/>
          <w:sz w:val="32"/>
          <w:szCs w:val="32"/>
        </w:rPr>
        <w:t>合约第</w:t>
      </w:r>
      <w:proofErr w:type="gramEnd"/>
      <w:r w:rsidRPr="00D51C6A">
        <w:rPr>
          <w:rFonts w:eastAsia="仿宋_GB2312"/>
          <w:color w:val="000000"/>
          <w:sz w:val="32"/>
          <w:szCs w:val="32"/>
        </w:rPr>
        <w:t>N+2</w:t>
      </w:r>
      <w:r w:rsidRPr="00D51C6A">
        <w:rPr>
          <w:rFonts w:eastAsia="仿宋_GB2312"/>
          <w:color w:val="000000"/>
          <w:sz w:val="32"/>
          <w:szCs w:val="32"/>
        </w:rPr>
        <w:t>个交易日涨跌停板幅度在第</w:t>
      </w:r>
      <w:r w:rsidRPr="00D51C6A">
        <w:rPr>
          <w:rFonts w:eastAsia="仿宋_GB2312"/>
          <w:color w:val="000000"/>
          <w:sz w:val="32"/>
          <w:szCs w:val="32"/>
        </w:rPr>
        <w:t>N+1</w:t>
      </w:r>
      <w:r w:rsidRPr="00D51C6A">
        <w:rPr>
          <w:rFonts w:eastAsia="仿宋_GB2312"/>
          <w:color w:val="000000"/>
          <w:sz w:val="32"/>
          <w:szCs w:val="32"/>
        </w:rPr>
        <w:t>个交易日涨跌停板幅度的基础上增加</w:t>
      </w:r>
      <w:r w:rsidRPr="00D51C6A">
        <w:rPr>
          <w:rFonts w:eastAsia="仿宋_GB2312"/>
          <w:color w:val="000000"/>
          <w:sz w:val="32"/>
          <w:szCs w:val="32"/>
        </w:rPr>
        <w:t>2</w:t>
      </w:r>
      <w:r w:rsidRPr="00D51C6A">
        <w:rPr>
          <w:rFonts w:eastAsia="仿宋_GB2312"/>
          <w:color w:val="000000"/>
          <w:sz w:val="32"/>
          <w:szCs w:val="32"/>
        </w:rPr>
        <w:t>个百分点。第</w:t>
      </w:r>
      <w:r w:rsidRPr="00D51C6A">
        <w:rPr>
          <w:rFonts w:eastAsia="仿宋_GB2312"/>
          <w:color w:val="000000"/>
          <w:sz w:val="32"/>
          <w:szCs w:val="32"/>
        </w:rPr>
        <w:t>N+1</w:t>
      </w:r>
      <w:r w:rsidRPr="00D51C6A">
        <w:rPr>
          <w:rFonts w:eastAsia="仿宋_GB2312"/>
          <w:color w:val="000000"/>
          <w:sz w:val="32"/>
          <w:szCs w:val="32"/>
        </w:rPr>
        <w:t>个交易日结算时，该合约交易保证金标准为在第</w:t>
      </w:r>
      <w:r w:rsidRPr="00D51C6A">
        <w:rPr>
          <w:rFonts w:eastAsia="仿宋_GB2312"/>
          <w:color w:val="000000"/>
          <w:sz w:val="32"/>
          <w:szCs w:val="32"/>
        </w:rPr>
        <w:t>N+2</w:t>
      </w:r>
      <w:r w:rsidRPr="00D51C6A">
        <w:rPr>
          <w:rFonts w:eastAsia="仿宋_GB2312"/>
          <w:color w:val="000000"/>
          <w:sz w:val="32"/>
          <w:szCs w:val="32"/>
        </w:rPr>
        <w:t>个交易日涨跌停板幅度的基础上增加</w:t>
      </w:r>
      <w:r w:rsidRPr="00D51C6A">
        <w:rPr>
          <w:rFonts w:eastAsia="仿宋_GB2312"/>
          <w:color w:val="000000"/>
          <w:sz w:val="32"/>
          <w:szCs w:val="32"/>
        </w:rPr>
        <w:t>2</w:t>
      </w:r>
      <w:r w:rsidRPr="00D51C6A">
        <w:rPr>
          <w:rFonts w:eastAsia="仿宋_GB2312"/>
          <w:color w:val="000000"/>
          <w:sz w:val="32"/>
          <w:szCs w:val="32"/>
        </w:rPr>
        <w:t>个百分点。若该合约调整后的交易保证金标准低于第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交易日结算时的交易保证金标准，则按第</w:t>
      </w:r>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交易日结算时该合约的交易保证金标准收取。</w:t>
      </w:r>
    </w:p>
    <w:p w14:paraId="7C2FEA2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若第</w:t>
      </w:r>
      <w:r w:rsidRPr="00D51C6A">
        <w:rPr>
          <w:rFonts w:eastAsia="仿宋_GB2312"/>
          <w:color w:val="000000"/>
          <w:sz w:val="32"/>
          <w:szCs w:val="32"/>
        </w:rPr>
        <w:t>N+2</w:t>
      </w:r>
      <w:r w:rsidRPr="00D51C6A">
        <w:rPr>
          <w:rFonts w:eastAsia="仿宋_GB2312"/>
          <w:color w:val="000000"/>
          <w:sz w:val="32"/>
          <w:szCs w:val="32"/>
        </w:rPr>
        <w:t>个及以后交易日出现与第</w:t>
      </w:r>
      <w:r w:rsidRPr="00D51C6A">
        <w:rPr>
          <w:rFonts w:eastAsia="仿宋_GB2312"/>
          <w:color w:val="000000"/>
          <w:sz w:val="32"/>
          <w:szCs w:val="32"/>
        </w:rPr>
        <w:t>N+1</w:t>
      </w:r>
      <w:r w:rsidRPr="00D51C6A">
        <w:rPr>
          <w:rFonts w:eastAsia="仿宋_GB2312"/>
          <w:color w:val="000000"/>
          <w:sz w:val="32"/>
          <w:szCs w:val="32"/>
        </w:rPr>
        <w:t>个交易日同方向涨跌停板单边无连续报价情况，则从第</w:t>
      </w:r>
      <w:r w:rsidRPr="00D51C6A">
        <w:rPr>
          <w:rFonts w:eastAsia="仿宋_GB2312"/>
          <w:color w:val="000000"/>
          <w:sz w:val="32"/>
          <w:szCs w:val="32"/>
        </w:rPr>
        <w:t>N+3</w:t>
      </w:r>
      <w:r w:rsidRPr="00D51C6A">
        <w:rPr>
          <w:rFonts w:eastAsia="仿宋_GB2312"/>
          <w:color w:val="000000"/>
          <w:sz w:val="32"/>
          <w:szCs w:val="32"/>
        </w:rPr>
        <w:t>个交易日开始，涨跌停板幅度和交易保证金标准与第</w:t>
      </w:r>
      <w:r w:rsidRPr="00D51C6A">
        <w:rPr>
          <w:rFonts w:eastAsia="仿宋_GB2312"/>
          <w:color w:val="000000"/>
          <w:sz w:val="32"/>
          <w:szCs w:val="32"/>
        </w:rPr>
        <w:t>N+2</w:t>
      </w:r>
      <w:r w:rsidRPr="00D51C6A">
        <w:rPr>
          <w:rFonts w:eastAsia="仿宋_GB2312"/>
          <w:color w:val="000000"/>
          <w:sz w:val="32"/>
          <w:szCs w:val="32"/>
        </w:rPr>
        <w:t>个交易日一致，直至合约不再出现同方向涨跌停板单边无连续报价的情况。</w:t>
      </w:r>
    </w:p>
    <w:p w14:paraId="55372021"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第二十条</w:t>
      </w:r>
      <w:r w:rsidRPr="00D51C6A">
        <w:rPr>
          <w:rFonts w:eastAsia="仿宋_GB2312"/>
          <w:color w:val="000000"/>
          <w:sz w:val="32"/>
          <w:szCs w:val="32"/>
        </w:rPr>
        <w:t xml:space="preserve"> </w:t>
      </w:r>
      <w:r w:rsidRPr="00D51C6A">
        <w:rPr>
          <w:rFonts w:eastAsia="仿宋_GB2312"/>
          <w:color w:val="000000"/>
          <w:sz w:val="32"/>
          <w:szCs w:val="32"/>
        </w:rPr>
        <w:t>当第</w:t>
      </w:r>
      <w:r w:rsidRPr="00D51C6A">
        <w:rPr>
          <w:rFonts w:eastAsia="仿宋_GB2312"/>
          <w:color w:val="000000"/>
          <w:sz w:val="32"/>
          <w:szCs w:val="32"/>
        </w:rPr>
        <w:t>N+1</w:t>
      </w:r>
      <w:r w:rsidRPr="00D51C6A">
        <w:rPr>
          <w:rFonts w:eastAsia="仿宋_GB2312"/>
          <w:color w:val="000000"/>
          <w:sz w:val="32"/>
          <w:szCs w:val="32"/>
        </w:rPr>
        <w:t>个及以后交易日出现与前一交易日反方向涨跌停板单边无连续报价的情况，则该交易日</w:t>
      </w:r>
      <w:proofErr w:type="gramStart"/>
      <w:r w:rsidRPr="00D51C6A">
        <w:rPr>
          <w:rFonts w:eastAsia="仿宋_GB2312"/>
          <w:color w:val="000000"/>
          <w:sz w:val="32"/>
          <w:szCs w:val="32"/>
        </w:rPr>
        <w:t>视为第</w:t>
      </w:r>
      <w:proofErr w:type="gramEnd"/>
      <w:r w:rsidRPr="00D51C6A">
        <w:rPr>
          <w:rFonts w:eastAsia="仿宋_GB2312"/>
          <w:color w:val="000000"/>
          <w:sz w:val="32"/>
          <w:szCs w:val="32"/>
        </w:rPr>
        <w:t>N</w:t>
      </w:r>
      <w:proofErr w:type="gramStart"/>
      <w:r w:rsidRPr="00D51C6A">
        <w:rPr>
          <w:rFonts w:eastAsia="仿宋_GB2312"/>
          <w:color w:val="000000"/>
          <w:sz w:val="32"/>
          <w:szCs w:val="32"/>
        </w:rPr>
        <w:t>个</w:t>
      </w:r>
      <w:proofErr w:type="gramEnd"/>
      <w:r w:rsidRPr="00D51C6A">
        <w:rPr>
          <w:rFonts w:eastAsia="仿宋_GB2312"/>
          <w:color w:val="000000"/>
          <w:sz w:val="32"/>
          <w:szCs w:val="32"/>
        </w:rPr>
        <w:t>交易日。</w:t>
      </w:r>
    </w:p>
    <w:p w14:paraId="3ED867E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第二十一条</w:t>
      </w:r>
      <w:r w:rsidRPr="00D51C6A">
        <w:rPr>
          <w:rFonts w:eastAsia="仿宋_GB2312"/>
          <w:color w:val="000000"/>
          <w:sz w:val="32"/>
          <w:szCs w:val="32"/>
        </w:rPr>
        <w:t xml:space="preserve"> </w:t>
      </w:r>
      <w:r w:rsidRPr="00D51C6A">
        <w:rPr>
          <w:rFonts w:eastAsia="仿宋_GB2312"/>
          <w:color w:val="000000"/>
          <w:sz w:val="32"/>
          <w:szCs w:val="32"/>
        </w:rPr>
        <w:t>当第</w:t>
      </w:r>
      <w:r w:rsidRPr="00D51C6A">
        <w:rPr>
          <w:rFonts w:eastAsia="仿宋_GB2312"/>
          <w:color w:val="000000"/>
          <w:sz w:val="32"/>
          <w:szCs w:val="32"/>
        </w:rPr>
        <w:t>N+1</w:t>
      </w:r>
      <w:r w:rsidRPr="00D51C6A">
        <w:rPr>
          <w:rFonts w:eastAsia="仿宋_GB2312"/>
          <w:color w:val="000000"/>
          <w:sz w:val="32"/>
          <w:szCs w:val="32"/>
        </w:rPr>
        <w:t>个及以后交易日未出现涨跌停板单边无连续报价的情况，则该交易日结算时交易保证金恢复到正常水平，下一交易日的涨跌停板幅度恢复到正常水平。</w:t>
      </w:r>
    </w:p>
    <w:p w14:paraId="0F17FC6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第二十二条</w:t>
      </w:r>
      <w:r w:rsidRPr="00D51C6A">
        <w:rPr>
          <w:rFonts w:eastAsia="仿宋_GB2312"/>
          <w:color w:val="000000"/>
          <w:sz w:val="32"/>
          <w:szCs w:val="32"/>
        </w:rPr>
        <w:t xml:space="preserve"> </w:t>
      </w:r>
      <w:r w:rsidRPr="00D51C6A">
        <w:rPr>
          <w:rFonts w:eastAsia="仿宋_GB2312"/>
          <w:color w:val="000000"/>
          <w:sz w:val="32"/>
          <w:szCs w:val="32"/>
        </w:rPr>
        <w:t>若某期货合约在第</w:t>
      </w:r>
      <w:r w:rsidRPr="00D51C6A">
        <w:rPr>
          <w:rFonts w:eastAsia="仿宋_GB2312"/>
          <w:color w:val="000000"/>
          <w:sz w:val="32"/>
          <w:szCs w:val="32"/>
        </w:rPr>
        <w:t>N+2</w:t>
      </w:r>
      <w:r w:rsidRPr="00D51C6A">
        <w:rPr>
          <w:rFonts w:eastAsia="仿宋_GB2312"/>
          <w:color w:val="000000"/>
          <w:sz w:val="32"/>
          <w:szCs w:val="32"/>
        </w:rPr>
        <w:t>个交易日出现与第</w:t>
      </w:r>
      <w:r w:rsidRPr="00D51C6A">
        <w:rPr>
          <w:rFonts w:eastAsia="仿宋_GB2312"/>
          <w:color w:val="000000"/>
          <w:sz w:val="32"/>
          <w:szCs w:val="32"/>
        </w:rPr>
        <w:t>N+1</w:t>
      </w:r>
      <w:r w:rsidRPr="00D51C6A">
        <w:rPr>
          <w:rFonts w:eastAsia="仿宋_GB2312"/>
          <w:color w:val="000000"/>
          <w:sz w:val="32"/>
          <w:szCs w:val="32"/>
        </w:rPr>
        <w:t>个交易日同方向涨跌停板单边无连续报价的情况时，若第</w:t>
      </w:r>
      <w:r w:rsidRPr="00D51C6A">
        <w:rPr>
          <w:rFonts w:eastAsia="仿宋_GB2312"/>
          <w:color w:val="000000"/>
          <w:sz w:val="32"/>
          <w:szCs w:val="32"/>
        </w:rPr>
        <w:t>N+2</w:t>
      </w:r>
      <w:r w:rsidRPr="00D51C6A">
        <w:rPr>
          <w:rFonts w:eastAsia="仿宋_GB2312"/>
          <w:color w:val="000000"/>
          <w:sz w:val="32"/>
          <w:szCs w:val="32"/>
        </w:rPr>
        <w:t>个交易日是该期货合约的最后交易日，则该合约直接进入交割；若第</w:t>
      </w:r>
      <w:r w:rsidRPr="00D51C6A">
        <w:rPr>
          <w:rFonts w:eastAsia="仿宋_GB2312"/>
          <w:color w:val="000000"/>
          <w:sz w:val="32"/>
          <w:szCs w:val="32"/>
        </w:rPr>
        <w:t>N+3</w:t>
      </w:r>
      <w:r w:rsidRPr="00D51C6A">
        <w:rPr>
          <w:rFonts w:eastAsia="仿宋_GB2312"/>
          <w:color w:val="000000"/>
          <w:sz w:val="32"/>
          <w:szCs w:val="32"/>
        </w:rPr>
        <w:t>个交易日是该期货合约的最后交易日，则第</w:t>
      </w:r>
      <w:r w:rsidRPr="00D51C6A">
        <w:rPr>
          <w:rFonts w:eastAsia="仿宋_GB2312"/>
          <w:color w:val="000000"/>
          <w:sz w:val="32"/>
          <w:szCs w:val="32"/>
        </w:rPr>
        <w:t>N+3</w:t>
      </w:r>
      <w:r w:rsidRPr="00D51C6A">
        <w:rPr>
          <w:rFonts w:eastAsia="仿宋_GB2312"/>
          <w:color w:val="000000"/>
          <w:sz w:val="32"/>
          <w:szCs w:val="32"/>
        </w:rPr>
        <w:t>个交易日该合约按第</w:t>
      </w:r>
      <w:r w:rsidRPr="00D51C6A">
        <w:rPr>
          <w:rFonts w:eastAsia="仿宋_GB2312"/>
          <w:color w:val="000000"/>
          <w:sz w:val="32"/>
          <w:szCs w:val="32"/>
        </w:rPr>
        <w:t>N+2</w:t>
      </w:r>
      <w:r w:rsidRPr="00D51C6A">
        <w:rPr>
          <w:rFonts w:eastAsia="仿宋_GB2312"/>
          <w:color w:val="000000"/>
          <w:sz w:val="32"/>
          <w:szCs w:val="32"/>
        </w:rPr>
        <w:t>个交易日的涨跌停板和保证金水平继续交易。除上述两种情况之外，交易所可在第</w:t>
      </w:r>
      <w:r w:rsidRPr="00D51C6A">
        <w:rPr>
          <w:rFonts w:eastAsia="仿宋_GB2312"/>
          <w:color w:val="000000"/>
          <w:sz w:val="32"/>
          <w:szCs w:val="32"/>
        </w:rPr>
        <w:t>N+2</w:t>
      </w:r>
      <w:r w:rsidRPr="00D51C6A">
        <w:rPr>
          <w:rFonts w:eastAsia="仿宋_GB2312"/>
          <w:color w:val="000000"/>
          <w:sz w:val="32"/>
          <w:szCs w:val="32"/>
        </w:rPr>
        <w:t>个交易日收市后决定并公告，对该合约实施下列措施中的一种或多种化解市场风险：</w:t>
      </w:r>
    </w:p>
    <w:p w14:paraId="263B380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（一）单边或双边、同比例或不同比例、部分会员或全部会员提高交易保证金；</w:t>
      </w:r>
    </w:p>
    <w:p w14:paraId="48E0AC3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（二）调整涨跌停板幅度；</w:t>
      </w:r>
    </w:p>
    <w:p w14:paraId="6E3AE39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（三）暂停部分会员或全部会员开新仓；</w:t>
      </w:r>
    </w:p>
    <w:p w14:paraId="6439E12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（四）限制出金；</w:t>
      </w:r>
    </w:p>
    <w:p w14:paraId="1B7EC81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（五）限期平仓；</w:t>
      </w:r>
    </w:p>
    <w:p w14:paraId="69CE118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（六）强行平仓；</w:t>
      </w:r>
    </w:p>
    <w:p w14:paraId="21839B0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（七）在第</w:t>
      </w:r>
      <w:r w:rsidRPr="00D51C6A">
        <w:rPr>
          <w:rFonts w:eastAsia="仿宋_GB2312"/>
          <w:color w:val="000000"/>
          <w:sz w:val="32"/>
          <w:szCs w:val="32"/>
        </w:rPr>
        <w:t>N+2</w:t>
      </w:r>
      <w:r w:rsidRPr="00D51C6A">
        <w:rPr>
          <w:rFonts w:eastAsia="仿宋_GB2312"/>
          <w:color w:val="000000"/>
          <w:sz w:val="32"/>
          <w:szCs w:val="32"/>
        </w:rPr>
        <w:t>个交易日收市后强制减仓。</w:t>
      </w:r>
    </w:p>
    <w:p w14:paraId="50DFF2E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第二十三条</w:t>
      </w:r>
      <w:r w:rsidRPr="00D51C6A">
        <w:rPr>
          <w:rFonts w:eastAsia="仿宋_GB2312"/>
          <w:color w:val="000000"/>
          <w:sz w:val="32"/>
          <w:szCs w:val="32"/>
        </w:rPr>
        <w:t xml:space="preserve"> </w:t>
      </w:r>
      <w:r w:rsidRPr="00D51C6A">
        <w:rPr>
          <w:rFonts w:eastAsia="仿宋_GB2312"/>
          <w:color w:val="000000"/>
          <w:sz w:val="32"/>
          <w:szCs w:val="32"/>
        </w:rPr>
        <w:t>强制减仓是指交易所将当日以涨跌停板价申报的未成交平仓报单</w:t>
      </w:r>
      <w:r w:rsidRPr="00D51C6A">
        <w:rPr>
          <w:rFonts w:eastAsia="仿宋_GB2312"/>
          <w:color w:val="000000"/>
          <w:sz w:val="32"/>
          <w:szCs w:val="32"/>
        </w:rPr>
        <w:t>,</w:t>
      </w:r>
      <w:r w:rsidRPr="00D51C6A">
        <w:rPr>
          <w:rFonts w:eastAsia="仿宋_GB2312"/>
          <w:color w:val="000000"/>
          <w:sz w:val="32"/>
          <w:szCs w:val="32"/>
        </w:rPr>
        <w:t>以当日涨跌停板价与该合约净持仓盈利客户</w:t>
      </w:r>
      <w:r w:rsidRPr="00D51C6A">
        <w:rPr>
          <w:rFonts w:eastAsia="仿宋_GB2312"/>
          <w:color w:val="000000"/>
          <w:sz w:val="32"/>
          <w:szCs w:val="32"/>
        </w:rPr>
        <w:t>(</w:t>
      </w:r>
      <w:r w:rsidRPr="00D51C6A">
        <w:rPr>
          <w:rFonts w:eastAsia="仿宋_GB2312"/>
          <w:color w:val="000000"/>
          <w:sz w:val="32"/>
          <w:szCs w:val="32"/>
        </w:rPr>
        <w:t>或非期货公司会员，下同</w:t>
      </w:r>
      <w:r w:rsidRPr="00D51C6A">
        <w:rPr>
          <w:rFonts w:eastAsia="仿宋_GB2312"/>
          <w:color w:val="000000"/>
          <w:sz w:val="32"/>
          <w:szCs w:val="32"/>
        </w:rPr>
        <w:t>)</w:t>
      </w:r>
      <w:r w:rsidRPr="00D51C6A">
        <w:rPr>
          <w:rFonts w:eastAsia="仿宋_GB2312"/>
          <w:color w:val="000000"/>
          <w:sz w:val="32"/>
          <w:szCs w:val="32"/>
        </w:rPr>
        <w:t>按持仓比例自动撮合成</w:t>
      </w:r>
      <w:r w:rsidRPr="00D51C6A">
        <w:rPr>
          <w:rFonts w:eastAsia="仿宋_GB2312"/>
          <w:color w:val="000000"/>
          <w:sz w:val="32"/>
          <w:szCs w:val="32"/>
        </w:rPr>
        <w:lastRenderedPageBreak/>
        <w:t>交。同一客户持有双向头寸</w:t>
      </w:r>
      <w:r w:rsidRPr="00D51C6A">
        <w:rPr>
          <w:rFonts w:eastAsia="仿宋_GB2312"/>
          <w:color w:val="000000"/>
          <w:sz w:val="32"/>
          <w:szCs w:val="32"/>
        </w:rPr>
        <w:t xml:space="preserve">, </w:t>
      </w:r>
      <w:r w:rsidRPr="00D51C6A">
        <w:rPr>
          <w:rFonts w:eastAsia="仿宋_GB2312"/>
          <w:color w:val="000000"/>
          <w:sz w:val="32"/>
          <w:szCs w:val="32"/>
        </w:rPr>
        <w:t>则其净持仓部分的平仓报单参与强制减仓计算，其余平仓报单与其对锁持仓自动对冲。具体强制减</w:t>
      </w:r>
      <w:proofErr w:type="gramStart"/>
      <w:r w:rsidRPr="00D51C6A">
        <w:rPr>
          <w:rFonts w:eastAsia="仿宋_GB2312"/>
          <w:color w:val="000000"/>
          <w:sz w:val="32"/>
          <w:szCs w:val="32"/>
        </w:rPr>
        <w:t>仓方法</w:t>
      </w:r>
      <w:proofErr w:type="gramEnd"/>
      <w:r w:rsidRPr="00D51C6A">
        <w:rPr>
          <w:rFonts w:eastAsia="仿宋_GB2312"/>
          <w:color w:val="000000"/>
          <w:sz w:val="32"/>
          <w:szCs w:val="32"/>
        </w:rPr>
        <w:t>如下：</w:t>
      </w:r>
    </w:p>
    <w:p w14:paraId="3A755B3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（一）申报平仓数量的确定</w:t>
      </w:r>
      <w:r w:rsidRPr="00D51C6A">
        <w:rPr>
          <w:rFonts w:eastAsia="仿宋_GB2312"/>
          <w:color w:val="000000"/>
          <w:sz w:val="32"/>
          <w:szCs w:val="32"/>
        </w:rPr>
        <w:t>:</w:t>
      </w:r>
    </w:p>
    <w:p w14:paraId="4338E64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在第</w:t>
      </w:r>
      <w:r w:rsidRPr="00D51C6A">
        <w:rPr>
          <w:rFonts w:eastAsia="仿宋_GB2312"/>
          <w:color w:val="000000"/>
          <w:sz w:val="32"/>
          <w:szCs w:val="32"/>
        </w:rPr>
        <w:t>N +2</w:t>
      </w:r>
      <w:r w:rsidRPr="00D51C6A">
        <w:rPr>
          <w:rFonts w:eastAsia="仿宋_GB2312"/>
          <w:color w:val="000000"/>
          <w:sz w:val="32"/>
          <w:szCs w:val="32"/>
        </w:rPr>
        <w:t>个交易日收市后</w:t>
      </w:r>
      <w:r w:rsidRPr="00D51C6A">
        <w:rPr>
          <w:rFonts w:eastAsia="仿宋_GB2312"/>
          <w:color w:val="000000"/>
          <w:sz w:val="32"/>
          <w:szCs w:val="32"/>
        </w:rPr>
        <w:t>,</w:t>
      </w:r>
      <w:r w:rsidRPr="00D51C6A">
        <w:rPr>
          <w:rFonts w:eastAsia="仿宋_GB2312"/>
          <w:color w:val="000000"/>
          <w:sz w:val="32"/>
          <w:szCs w:val="32"/>
        </w:rPr>
        <w:t>已在计算机系统中以涨跌停板价申报无法成交的、且客户合约的单位净持仓亏损大于或等于第</w:t>
      </w:r>
      <w:r w:rsidRPr="00D51C6A">
        <w:rPr>
          <w:rFonts w:eastAsia="仿宋_GB2312"/>
          <w:color w:val="000000"/>
          <w:sz w:val="32"/>
          <w:szCs w:val="32"/>
        </w:rPr>
        <w:t>N +2</w:t>
      </w:r>
      <w:r w:rsidRPr="00D51C6A">
        <w:rPr>
          <w:rFonts w:eastAsia="仿宋_GB2312"/>
          <w:color w:val="000000"/>
          <w:sz w:val="32"/>
          <w:szCs w:val="32"/>
        </w:rPr>
        <w:t>个交易日结算价的</w:t>
      </w:r>
      <w:r w:rsidRPr="00D51C6A">
        <w:rPr>
          <w:rFonts w:eastAsia="仿宋_GB2312"/>
          <w:color w:val="000000"/>
          <w:sz w:val="32"/>
          <w:szCs w:val="32"/>
        </w:rPr>
        <w:t>5%</w:t>
      </w:r>
      <w:r w:rsidRPr="00D51C6A">
        <w:rPr>
          <w:rFonts w:eastAsia="仿宋_GB2312"/>
          <w:color w:val="000000"/>
          <w:sz w:val="32"/>
          <w:szCs w:val="32"/>
        </w:rPr>
        <w:t>（棕榈油合约标准为</w:t>
      </w:r>
      <w:r w:rsidRPr="00D51C6A">
        <w:rPr>
          <w:rFonts w:eastAsia="仿宋_GB2312"/>
          <w:color w:val="000000"/>
          <w:sz w:val="32"/>
          <w:szCs w:val="32"/>
        </w:rPr>
        <w:t>4%</w:t>
      </w:r>
      <w:r w:rsidRPr="00D51C6A">
        <w:rPr>
          <w:rFonts w:eastAsia="仿宋_GB2312"/>
          <w:color w:val="000000"/>
          <w:sz w:val="32"/>
          <w:szCs w:val="32"/>
        </w:rPr>
        <w:t>）的所有持仓。</w:t>
      </w:r>
    </w:p>
    <w:p w14:paraId="78E8274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若客户不愿按上述方法平仓可在收市前撤单</w:t>
      </w:r>
      <w:r w:rsidRPr="00D51C6A">
        <w:rPr>
          <w:rFonts w:eastAsia="仿宋_GB2312"/>
          <w:color w:val="000000"/>
          <w:sz w:val="32"/>
          <w:szCs w:val="32"/>
        </w:rPr>
        <w:t>,</w:t>
      </w:r>
      <w:r w:rsidRPr="00D51C6A">
        <w:rPr>
          <w:rFonts w:eastAsia="仿宋_GB2312"/>
          <w:color w:val="000000"/>
          <w:sz w:val="32"/>
          <w:szCs w:val="32"/>
        </w:rPr>
        <w:t>不作为申报的平仓报单。</w:t>
      </w:r>
    </w:p>
    <w:p w14:paraId="7D38EDE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（二）客户单位净持仓盈亏的确定</w:t>
      </w:r>
      <w:r w:rsidRPr="00D51C6A">
        <w:rPr>
          <w:rFonts w:eastAsia="仿宋_GB2312"/>
          <w:color w:val="000000"/>
          <w:sz w:val="32"/>
          <w:szCs w:val="32"/>
        </w:rPr>
        <w:t>:</w:t>
      </w:r>
    </w:p>
    <w:p w14:paraId="0C0B4F2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w:t>
      </w:r>
      <w:r w:rsidRPr="00D51C6A">
        <w:rPr>
          <w:rFonts w:eastAsia="仿宋_GB2312"/>
          <w:color w:val="000000"/>
          <w:sz w:val="32"/>
          <w:szCs w:val="32"/>
        </w:rPr>
        <w:t>客户该合约持仓盈亏总和客户该合约单位净持仓盈亏</w:t>
      </w:r>
      <w:r w:rsidRPr="00D51C6A">
        <w:rPr>
          <w:rFonts w:eastAsia="仿宋_GB2312"/>
          <w:color w:val="000000"/>
          <w:sz w:val="32"/>
          <w:szCs w:val="32"/>
        </w:rPr>
        <w:t>= ──────────────────</w:t>
      </w:r>
    </w:p>
    <w:p w14:paraId="28E7258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w:t>
      </w:r>
      <w:r>
        <w:rPr>
          <w:rFonts w:eastAsia="仿宋_GB2312"/>
          <w:color w:val="000000"/>
          <w:sz w:val="32"/>
          <w:szCs w:val="32"/>
        </w:rPr>
        <w:t>                               </w:t>
      </w:r>
      <w:r w:rsidRPr="00D51C6A">
        <w:rPr>
          <w:rFonts w:eastAsia="仿宋_GB2312"/>
          <w:color w:val="000000"/>
          <w:sz w:val="32"/>
          <w:szCs w:val="32"/>
        </w:rPr>
        <w:t>客户该合约净持仓量</w:t>
      </w:r>
      <w:r w:rsidRPr="00D51C6A">
        <w:rPr>
          <w:rFonts w:eastAsia="仿宋_GB2312"/>
          <w:color w:val="000000"/>
          <w:sz w:val="32"/>
          <w:szCs w:val="32"/>
        </w:rPr>
        <w:t>×</w:t>
      </w:r>
      <w:r w:rsidRPr="00D51C6A">
        <w:rPr>
          <w:rFonts w:eastAsia="仿宋_GB2312"/>
          <w:color w:val="000000"/>
          <w:sz w:val="32"/>
          <w:szCs w:val="32"/>
        </w:rPr>
        <w:t>交易单位</w:t>
      </w:r>
    </w:p>
    <w:p w14:paraId="4696F6D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客户该合约持仓盈亏总和，是指客户该合约的全部持仓按其实际成交价与当日结算价之差计算的盈亏总和。</w:t>
      </w:r>
    </w:p>
    <w:p w14:paraId="288897A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（三）净持仓盈利客户平仓范围的确定</w:t>
      </w:r>
      <w:r w:rsidRPr="00D51C6A">
        <w:rPr>
          <w:rFonts w:eastAsia="仿宋_GB2312"/>
          <w:color w:val="000000"/>
          <w:sz w:val="32"/>
          <w:szCs w:val="32"/>
        </w:rPr>
        <w:t>:</w:t>
      </w:r>
    </w:p>
    <w:p w14:paraId="1B2EE40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根据上述方法计算的客户单位净持仓盈利大于零的客户的所有投机持仓以及客户单位净持仓盈利大于或等于第</w:t>
      </w:r>
      <w:r w:rsidRPr="00D51C6A">
        <w:rPr>
          <w:rFonts w:eastAsia="仿宋_GB2312"/>
          <w:color w:val="000000"/>
          <w:sz w:val="32"/>
          <w:szCs w:val="32"/>
        </w:rPr>
        <w:t>N +2</w:t>
      </w:r>
      <w:r w:rsidRPr="00D51C6A">
        <w:rPr>
          <w:rFonts w:eastAsia="仿宋_GB2312"/>
          <w:color w:val="000000"/>
          <w:sz w:val="32"/>
          <w:szCs w:val="32"/>
        </w:rPr>
        <w:t>个交易日结算价的</w:t>
      </w:r>
      <w:r w:rsidRPr="00D51C6A">
        <w:rPr>
          <w:rFonts w:eastAsia="仿宋_GB2312"/>
          <w:color w:val="000000"/>
          <w:sz w:val="32"/>
          <w:szCs w:val="32"/>
        </w:rPr>
        <w:t>7%</w:t>
      </w:r>
      <w:r w:rsidRPr="00D51C6A">
        <w:rPr>
          <w:rFonts w:eastAsia="仿宋_GB2312"/>
          <w:color w:val="000000"/>
          <w:sz w:val="32"/>
          <w:szCs w:val="32"/>
        </w:rPr>
        <w:t>的保值持仓都列入平仓范围。</w:t>
      </w:r>
    </w:p>
    <w:p w14:paraId="70EF55E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（四）平仓数量的分配原则及方法</w:t>
      </w:r>
      <w:r w:rsidRPr="00D51C6A">
        <w:rPr>
          <w:rFonts w:eastAsia="仿宋_GB2312"/>
          <w:color w:val="000000"/>
          <w:sz w:val="32"/>
          <w:szCs w:val="32"/>
        </w:rPr>
        <w:t>:</w:t>
      </w:r>
    </w:p>
    <w:p w14:paraId="28C086C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平仓数量的分配原则</w:t>
      </w:r>
    </w:p>
    <w:p w14:paraId="7CFFF2F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w:t>
      </w:r>
      <w:r w:rsidRPr="00D51C6A">
        <w:rPr>
          <w:rFonts w:eastAsia="仿宋_GB2312"/>
          <w:color w:val="000000"/>
          <w:sz w:val="32"/>
          <w:szCs w:val="32"/>
        </w:rPr>
        <w:t>1</w:t>
      </w:r>
      <w:r w:rsidRPr="00D51C6A">
        <w:rPr>
          <w:rFonts w:eastAsia="仿宋_GB2312"/>
          <w:color w:val="000000"/>
          <w:sz w:val="32"/>
          <w:szCs w:val="32"/>
        </w:rPr>
        <w:t>）在平仓范围内按盈利的大小和投机与保值的不同分成四级</w:t>
      </w:r>
      <w:r w:rsidRPr="00D51C6A">
        <w:rPr>
          <w:rFonts w:eastAsia="仿宋_GB2312"/>
          <w:color w:val="000000"/>
          <w:sz w:val="32"/>
          <w:szCs w:val="32"/>
        </w:rPr>
        <w:t>,</w:t>
      </w:r>
      <w:r w:rsidRPr="00D51C6A">
        <w:rPr>
          <w:rFonts w:eastAsia="仿宋_GB2312"/>
          <w:color w:val="000000"/>
          <w:sz w:val="32"/>
          <w:szCs w:val="32"/>
        </w:rPr>
        <w:t>逐级进行分配。</w:t>
      </w:r>
    </w:p>
    <w:p w14:paraId="0219943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首先分配给属平仓范围内单位净持仓盈利大于或等于第</w:t>
      </w:r>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6%</w:t>
      </w:r>
      <w:r w:rsidRPr="00D51C6A">
        <w:rPr>
          <w:rFonts w:eastAsia="仿宋_GB2312"/>
          <w:color w:val="000000"/>
          <w:sz w:val="32"/>
          <w:szCs w:val="32"/>
        </w:rPr>
        <w:t>以上的投机持仓（以下简称盈利</w:t>
      </w:r>
      <w:r w:rsidRPr="00D51C6A">
        <w:rPr>
          <w:rFonts w:eastAsia="仿宋_GB2312"/>
          <w:color w:val="000000"/>
          <w:sz w:val="32"/>
          <w:szCs w:val="32"/>
        </w:rPr>
        <w:t>6%</w:t>
      </w:r>
      <w:r w:rsidRPr="00D51C6A">
        <w:rPr>
          <w:rFonts w:eastAsia="仿宋_GB2312"/>
          <w:color w:val="000000"/>
          <w:sz w:val="32"/>
          <w:szCs w:val="32"/>
        </w:rPr>
        <w:t>以上的投机持仓）</w:t>
      </w:r>
      <w:r w:rsidRPr="00D51C6A">
        <w:rPr>
          <w:rFonts w:eastAsia="仿宋_GB2312"/>
          <w:color w:val="000000"/>
          <w:sz w:val="32"/>
          <w:szCs w:val="32"/>
        </w:rPr>
        <w:t>;</w:t>
      </w:r>
    </w:p>
    <w:p w14:paraId="2A573CA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其次分配给单位净持仓盈利大于或等于第</w:t>
      </w:r>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3%</w:t>
      </w:r>
      <w:r w:rsidRPr="00D51C6A">
        <w:rPr>
          <w:rFonts w:eastAsia="仿宋_GB2312"/>
          <w:color w:val="000000"/>
          <w:sz w:val="32"/>
          <w:szCs w:val="32"/>
        </w:rPr>
        <w:t>以上而小于</w:t>
      </w:r>
      <w:r w:rsidRPr="00D51C6A">
        <w:rPr>
          <w:rFonts w:eastAsia="仿宋_GB2312"/>
          <w:color w:val="000000"/>
          <w:sz w:val="32"/>
          <w:szCs w:val="32"/>
        </w:rPr>
        <w:t>6%</w:t>
      </w:r>
      <w:r w:rsidRPr="00D51C6A">
        <w:rPr>
          <w:rFonts w:eastAsia="仿宋_GB2312"/>
          <w:color w:val="000000"/>
          <w:sz w:val="32"/>
          <w:szCs w:val="32"/>
        </w:rPr>
        <w:t>的投机持仓（以下简称盈利</w:t>
      </w:r>
      <w:r w:rsidRPr="00D51C6A">
        <w:rPr>
          <w:rFonts w:eastAsia="仿宋_GB2312"/>
          <w:color w:val="000000"/>
          <w:sz w:val="32"/>
          <w:szCs w:val="32"/>
        </w:rPr>
        <w:t>3%</w:t>
      </w:r>
      <w:r w:rsidRPr="00D51C6A">
        <w:rPr>
          <w:rFonts w:eastAsia="仿宋_GB2312"/>
          <w:color w:val="000000"/>
          <w:sz w:val="32"/>
          <w:szCs w:val="32"/>
        </w:rPr>
        <w:t>以上的投机持仓）</w:t>
      </w:r>
      <w:r w:rsidRPr="00D51C6A">
        <w:rPr>
          <w:rFonts w:eastAsia="仿宋_GB2312"/>
          <w:color w:val="000000"/>
          <w:sz w:val="32"/>
          <w:szCs w:val="32"/>
        </w:rPr>
        <w:t>;</w:t>
      </w:r>
    </w:p>
    <w:p w14:paraId="6FBF6BA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再次分配给单位净持仓盈利</w:t>
      </w:r>
      <w:proofErr w:type="gramStart"/>
      <w:r w:rsidRPr="00D51C6A">
        <w:rPr>
          <w:rFonts w:eastAsia="仿宋_GB2312"/>
          <w:color w:val="000000"/>
          <w:sz w:val="32"/>
          <w:szCs w:val="32"/>
        </w:rPr>
        <w:t>小于第</w:t>
      </w:r>
      <w:proofErr w:type="gramEnd"/>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3%</w:t>
      </w:r>
      <w:r w:rsidRPr="00D51C6A">
        <w:rPr>
          <w:rFonts w:eastAsia="仿宋_GB2312"/>
          <w:color w:val="000000"/>
          <w:sz w:val="32"/>
          <w:szCs w:val="32"/>
        </w:rPr>
        <w:t>而大于零的投机持仓（以下简称盈利大于零的投机持仓）</w:t>
      </w:r>
      <w:r w:rsidRPr="00D51C6A">
        <w:rPr>
          <w:rFonts w:eastAsia="仿宋_GB2312"/>
          <w:color w:val="000000"/>
          <w:sz w:val="32"/>
          <w:szCs w:val="32"/>
        </w:rPr>
        <w:t>;</w:t>
      </w:r>
    </w:p>
    <w:p w14:paraId="1D91B5F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最后分配给单位净持仓盈利大于或等于第</w:t>
      </w:r>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7%</w:t>
      </w:r>
      <w:r w:rsidRPr="00D51C6A">
        <w:rPr>
          <w:rFonts w:eastAsia="仿宋_GB2312"/>
          <w:color w:val="000000"/>
          <w:sz w:val="32"/>
          <w:szCs w:val="32"/>
        </w:rPr>
        <w:t>的保值持仓（以下简称盈利</w:t>
      </w:r>
      <w:r w:rsidRPr="00D51C6A">
        <w:rPr>
          <w:rFonts w:eastAsia="仿宋_GB2312"/>
          <w:color w:val="000000"/>
          <w:sz w:val="32"/>
          <w:szCs w:val="32"/>
        </w:rPr>
        <w:t>7%</w:t>
      </w:r>
      <w:r w:rsidRPr="00D51C6A">
        <w:rPr>
          <w:rFonts w:eastAsia="仿宋_GB2312"/>
          <w:color w:val="000000"/>
          <w:sz w:val="32"/>
          <w:szCs w:val="32"/>
        </w:rPr>
        <w:t>保值持仓）。</w:t>
      </w:r>
    </w:p>
    <w:p w14:paraId="79FFA05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2</w:t>
      </w:r>
      <w:r w:rsidRPr="00D51C6A">
        <w:rPr>
          <w:rFonts w:eastAsia="仿宋_GB2312"/>
          <w:color w:val="000000"/>
          <w:sz w:val="32"/>
          <w:szCs w:val="32"/>
        </w:rPr>
        <w:t>）以上各级分配比例均按申报平仓数量</w:t>
      </w:r>
      <w:r w:rsidRPr="00D51C6A">
        <w:rPr>
          <w:rFonts w:eastAsia="仿宋_GB2312"/>
          <w:color w:val="000000"/>
          <w:sz w:val="32"/>
          <w:szCs w:val="32"/>
        </w:rPr>
        <w:t>(</w:t>
      </w:r>
      <w:r w:rsidRPr="00D51C6A">
        <w:rPr>
          <w:rFonts w:eastAsia="仿宋_GB2312"/>
          <w:color w:val="000000"/>
          <w:sz w:val="32"/>
          <w:szCs w:val="32"/>
        </w:rPr>
        <w:t>剩余申报平仓数量</w:t>
      </w:r>
      <w:r w:rsidRPr="00D51C6A">
        <w:rPr>
          <w:rFonts w:eastAsia="仿宋_GB2312"/>
          <w:color w:val="000000"/>
          <w:sz w:val="32"/>
          <w:szCs w:val="32"/>
        </w:rPr>
        <w:t>)</w:t>
      </w:r>
      <w:r w:rsidRPr="00D51C6A">
        <w:rPr>
          <w:rFonts w:eastAsia="仿宋_GB2312"/>
          <w:color w:val="000000"/>
          <w:sz w:val="32"/>
          <w:szCs w:val="32"/>
        </w:rPr>
        <w:t>与各级可平仓的盈利持仓数量之比进行分配。</w:t>
      </w:r>
    </w:p>
    <w:p w14:paraId="5EB65BD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平仓数量的分配方法及步骤</w:t>
      </w:r>
      <w:r w:rsidRPr="00D51C6A">
        <w:rPr>
          <w:rFonts w:eastAsia="仿宋_GB2312"/>
          <w:color w:val="000000"/>
          <w:sz w:val="32"/>
          <w:szCs w:val="32"/>
        </w:rPr>
        <w:t>:</w:t>
      </w:r>
    </w:p>
    <w:p w14:paraId="14EDBF8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若单位净持仓盈利</w:t>
      </w:r>
      <w:r w:rsidRPr="00D51C6A">
        <w:rPr>
          <w:rFonts w:eastAsia="仿宋_GB2312"/>
          <w:color w:val="000000"/>
          <w:sz w:val="32"/>
          <w:szCs w:val="32"/>
        </w:rPr>
        <w:t>6%</w:t>
      </w:r>
      <w:r w:rsidRPr="00D51C6A">
        <w:rPr>
          <w:rFonts w:eastAsia="仿宋_GB2312"/>
          <w:color w:val="000000"/>
          <w:sz w:val="32"/>
          <w:szCs w:val="32"/>
        </w:rPr>
        <w:t>以上的投机持仓数量大于或等于申报平仓数量</w:t>
      </w:r>
      <w:r w:rsidRPr="00D51C6A">
        <w:rPr>
          <w:rFonts w:eastAsia="仿宋_GB2312"/>
          <w:color w:val="000000"/>
          <w:sz w:val="32"/>
          <w:szCs w:val="32"/>
        </w:rPr>
        <w:t>,</w:t>
      </w:r>
      <w:r w:rsidRPr="00D51C6A">
        <w:rPr>
          <w:rFonts w:eastAsia="仿宋_GB2312"/>
          <w:color w:val="000000"/>
          <w:sz w:val="32"/>
          <w:szCs w:val="32"/>
        </w:rPr>
        <w:t>则根据申报平仓数量与单位净持仓盈利</w:t>
      </w:r>
      <w:r w:rsidRPr="00D51C6A">
        <w:rPr>
          <w:rFonts w:eastAsia="仿宋_GB2312"/>
          <w:color w:val="000000"/>
          <w:sz w:val="32"/>
          <w:szCs w:val="32"/>
        </w:rPr>
        <w:t>6%</w:t>
      </w:r>
      <w:r w:rsidRPr="00D51C6A">
        <w:rPr>
          <w:rFonts w:eastAsia="仿宋_GB2312"/>
          <w:color w:val="000000"/>
          <w:sz w:val="32"/>
          <w:szCs w:val="32"/>
        </w:rPr>
        <w:t>以上的投机持仓数量的比例</w:t>
      </w:r>
      <w:r w:rsidRPr="00D51C6A">
        <w:rPr>
          <w:rFonts w:eastAsia="仿宋_GB2312"/>
          <w:color w:val="000000"/>
          <w:sz w:val="32"/>
          <w:szCs w:val="32"/>
        </w:rPr>
        <w:t>,</w:t>
      </w:r>
      <w:r w:rsidRPr="00D51C6A">
        <w:rPr>
          <w:rFonts w:eastAsia="仿宋_GB2312"/>
          <w:color w:val="000000"/>
          <w:sz w:val="32"/>
          <w:szCs w:val="32"/>
        </w:rPr>
        <w:t>将申报平仓数量向单位净持仓盈利</w:t>
      </w:r>
      <w:r w:rsidRPr="00D51C6A">
        <w:rPr>
          <w:rFonts w:eastAsia="仿宋_GB2312"/>
          <w:color w:val="000000"/>
          <w:sz w:val="32"/>
          <w:szCs w:val="32"/>
        </w:rPr>
        <w:t>6%</w:t>
      </w:r>
      <w:r w:rsidRPr="00D51C6A">
        <w:rPr>
          <w:rFonts w:eastAsia="仿宋_GB2312"/>
          <w:color w:val="000000"/>
          <w:sz w:val="32"/>
          <w:szCs w:val="32"/>
        </w:rPr>
        <w:t>以上的投机持仓分配</w:t>
      </w:r>
      <w:proofErr w:type="gramStart"/>
      <w:r w:rsidRPr="00D51C6A">
        <w:rPr>
          <w:rFonts w:eastAsia="仿宋_GB2312"/>
          <w:color w:val="000000"/>
          <w:sz w:val="32"/>
          <w:szCs w:val="32"/>
        </w:rPr>
        <w:t>实际平仓</w:t>
      </w:r>
      <w:proofErr w:type="gramEnd"/>
      <w:r w:rsidRPr="00D51C6A">
        <w:rPr>
          <w:rFonts w:eastAsia="仿宋_GB2312"/>
          <w:color w:val="000000"/>
          <w:sz w:val="32"/>
          <w:szCs w:val="32"/>
        </w:rPr>
        <w:t>数量</w:t>
      </w:r>
      <w:r w:rsidRPr="00D51C6A">
        <w:rPr>
          <w:rFonts w:eastAsia="仿宋_GB2312"/>
          <w:color w:val="000000"/>
          <w:sz w:val="32"/>
          <w:szCs w:val="32"/>
        </w:rPr>
        <w:t>;</w:t>
      </w:r>
    </w:p>
    <w:p w14:paraId="7FD9DDB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若单位净持仓盈利</w:t>
      </w:r>
      <w:r w:rsidRPr="00D51C6A">
        <w:rPr>
          <w:rFonts w:eastAsia="仿宋_GB2312"/>
          <w:color w:val="000000"/>
          <w:sz w:val="32"/>
          <w:szCs w:val="32"/>
        </w:rPr>
        <w:t>6%</w:t>
      </w:r>
      <w:r w:rsidRPr="00D51C6A">
        <w:rPr>
          <w:rFonts w:eastAsia="仿宋_GB2312"/>
          <w:color w:val="000000"/>
          <w:sz w:val="32"/>
          <w:szCs w:val="32"/>
        </w:rPr>
        <w:t>以上的投机持仓数量小于申报平仓数量</w:t>
      </w:r>
      <w:r w:rsidRPr="00D51C6A">
        <w:rPr>
          <w:rFonts w:eastAsia="仿宋_GB2312"/>
          <w:color w:val="000000"/>
          <w:sz w:val="32"/>
          <w:szCs w:val="32"/>
        </w:rPr>
        <w:t xml:space="preserve">, </w:t>
      </w:r>
      <w:r w:rsidRPr="00D51C6A">
        <w:rPr>
          <w:rFonts w:eastAsia="仿宋_GB2312"/>
          <w:color w:val="000000"/>
          <w:sz w:val="32"/>
          <w:szCs w:val="32"/>
        </w:rPr>
        <w:t>则根据单位净持仓盈利</w:t>
      </w:r>
      <w:r w:rsidRPr="00D51C6A">
        <w:rPr>
          <w:rFonts w:eastAsia="仿宋_GB2312"/>
          <w:color w:val="000000"/>
          <w:sz w:val="32"/>
          <w:szCs w:val="32"/>
        </w:rPr>
        <w:t>6%</w:t>
      </w:r>
      <w:r w:rsidRPr="00D51C6A">
        <w:rPr>
          <w:rFonts w:eastAsia="仿宋_GB2312"/>
          <w:color w:val="000000"/>
          <w:sz w:val="32"/>
          <w:szCs w:val="32"/>
        </w:rPr>
        <w:t>以上的投机持仓数量与</w:t>
      </w:r>
      <w:r w:rsidRPr="00D51C6A">
        <w:rPr>
          <w:rFonts w:eastAsia="仿宋_GB2312"/>
          <w:color w:val="000000"/>
          <w:sz w:val="32"/>
          <w:szCs w:val="32"/>
        </w:rPr>
        <w:lastRenderedPageBreak/>
        <w:t>申报平仓数量的比例，将单位净持仓盈利</w:t>
      </w:r>
      <w:r w:rsidRPr="00D51C6A">
        <w:rPr>
          <w:rFonts w:eastAsia="仿宋_GB2312"/>
          <w:color w:val="000000"/>
          <w:sz w:val="32"/>
          <w:szCs w:val="32"/>
        </w:rPr>
        <w:t>6%</w:t>
      </w:r>
      <w:r w:rsidRPr="00D51C6A">
        <w:rPr>
          <w:rFonts w:eastAsia="仿宋_GB2312"/>
          <w:color w:val="000000"/>
          <w:sz w:val="32"/>
          <w:szCs w:val="32"/>
        </w:rPr>
        <w:t>以上的投机持仓数量向申报平仓客户分配</w:t>
      </w:r>
      <w:proofErr w:type="gramStart"/>
      <w:r w:rsidRPr="00D51C6A">
        <w:rPr>
          <w:rFonts w:eastAsia="仿宋_GB2312"/>
          <w:color w:val="000000"/>
          <w:sz w:val="32"/>
          <w:szCs w:val="32"/>
        </w:rPr>
        <w:t>实际平仓</w:t>
      </w:r>
      <w:proofErr w:type="gramEnd"/>
      <w:r w:rsidRPr="00D51C6A">
        <w:rPr>
          <w:rFonts w:eastAsia="仿宋_GB2312"/>
          <w:color w:val="000000"/>
          <w:sz w:val="32"/>
          <w:szCs w:val="32"/>
        </w:rPr>
        <w:t>数量。再把剩余的申报平仓数量按上述的分配方法向单位净持仓盈利</w:t>
      </w:r>
      <w:r w:rsidRPr="00D51C6A">
        <w:rPr>
          <w:rFonts w:eastAsia="仿宋_GB2312"/>
          <w:color w:val="000000"/>
          <w:sz w:val="32"/>
          <w:szCs w:val="32"/>
        </w:rPr>
        <w:t>3%</w:t>
      </w:r>
      <w:r w:rsidRPr="00D51C6A">
        <w:rPr>
          <w:rFonts w:eastAsia="仿宋_GB2312"/>
          <w:color w:val="000000"/>
          <w:sz w:val="32"/>
          <w:szCs w:val="32"/>
        </w:rPr>
        <w:t>以上的投机持仓分配</w:t>
      </w:r>
      <w:r w:rsidRPr="00D51C6A">
        <w:rPr>
          <w:rFonts w:eastAsia="仿宋_GB2312"/>
          <w:color w:val="000000"/>
          <w:sz w:val="32"/>
          <w:szCs w:val="32"/>
        </w:rPr>
        <w:t>;</w:t>
      </w:r>
      <w:r w:rsidRPr="00D51C6A">
        <w:rPr>
          <w:rFonts w:eastAsia="仿宋_GB2312"/>
          <w:color w:val="000000"/>
          <w:sz w:val="32"/>
          <w:szCs w:val="32"/>
        </w:rPr>
        <w:t>若还有剩余</w:t>
      </w:r>
      <w:r w:rsidRPr="00D51C6A">
        <w:rPr>
          <w:rFonts w:eastAsia="仿宋_GB2312"/>
          <w:color w:val="000000"/>
          <w:sz w:val="32"/>
          <w:szCs w:val="32"/>
        </w:rPr>
        <w:t>,</w:t>
      </w:r>
      <w:r w:rsidRPr="00D51C6A">
        <w:rPr>
          <w:rFonts w:eastAsia="仿宋_GB2312"/>
          <w:color w:val="000000"/>
          <w:sz w:val="32"/>
          <w:szCs w:val="32"/>
        </w:rPr>
        <w:t>则再向单位净持仓盈利大于零的投机持仓分配</w:t>
      </w:r>
      <w:r w:rsidRPr="00D51C6A">
        <w:rPr>
          <w:rFonts w:eastAsia="仿宋_GB2312"/>
          <w:color w:val="000000"/>
          <w:sz w:val="32"/>
          <w:szCs w:val="32"/>
        </w:rPr>
        <w:t>;</w:t>
      </w:r>
      <w:r w:rsidRPr="00D51C6A">
        <w:rPr>
          <w:rFonts w:eastAsia="仿宋_GB2312"/>
          <w:color w:val="000000"/>
          <w:sz w:val="32"/>
          <w:szCs w:val="32"/>
        </w:rPr>
        <w:t>若还有剩余</w:t>
      </w:r>
      <w:r w:rsidRPr="00D51C6A">
        <w:rPr>
          <w:rFonts w:eastAsia="仿宋_GB2312"/>
          <w:color w:val="000000"/>
          <w:sz w:val="32"/>
          <w:szCs w:val="32"/>
        </w:rPr>
        <w:t>,</w:t>
      </w:r>
      <w:r w:rsidRPr="00D51C6A">
        <w:rPr>
          <w:rFonts w:eastAsia="仿宋_GB2312"/>
          <w:color w:val="000000"/>
          <w:sz w:val="32"/>
          <w:szCs w:val="32"/>
        </w:rPr>
        <w:t>则再向单位净持仓盈利</w:t>
      </w:r>
      <w:r w:rsidRPr="00D51C6A">
        <w:rPr>
          <w:rFonts w:eastAsia="仿宋_GB2312"/>
          <w:color w:val="000000"/>
          <w:sz w:val="32"/>
          <w:szCs w:val="32"/>
        </w:rPr>
        <w:t>7%</w:t>
      </w:r>
      <w:r w:rsidRPr="00D51C6A">
        <w:rPr>
          <w:rFonts w:eastAsia="仿宋_GB2312"/>
          <w:color w:val="000000"/>
          <w:sz w:val="32"/>
          <w:szCs w:val="32"/>
        </w:rPr>
        <w:t>的保值持仓分配。若还有剩余则</w:t>
      </w:r>
      <w:proofErr w:type="gramStart"/>
      <w:r w:rsidRPr="00D51C6A">
        <w:rPr>
          <w:rFonts w:eastAsia="仿宋_GB2312"/>
          <w:color w:val="000000"/>
          <w:sz w:val="32"/>
          <w:szCs w:val="32"/>
        </w:rPr>
        <w:t>不</w:t>
      </w:r>
      <w:proofErr w:type="gramEnd"/>
      <w:r w:rsidRPr="00D51C6A">
        <w:rPr>
          <w:rFonts w:eastAsia="仿宋_GB2312"/>
          <w:color w:val="000000"/>
          <w:sz w:val="32"/>
          <w:szCs w:val="32"/>
        </w:rPr>
        <w:t>再分配。</w:t>
      </w:r>
    </w:p>
    <w:p w14:paraId="641B5B0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分配平</w:t>
      </w:r>
      <w:proofErr w:type="gramStart"/>
      <w:r w:rsidRPr="00D51C6A">
        <w:rPr>
          <w:rFonts w:eastAsia="仿宋_GB2312"/>
          <w:color w:val="000000"/>
          <w:sz w:val="32"/>
          <w:szCs w:val="32"/>
        </w:rPr>
        <w:t>仓数量</w:t>
      </w:r>
      <w:proofErr w:type="gramEnd"/>
      <w:r w:rsidRPr="00D51C6A">
        <w:rPr>
          <w:rFonts w:eastAsia="仿宋_GB2312"/>
          <w:color w:val="000000"/>
          <w:sz w:val="32"/>
          <w:szCs w:val="32"/>
        </w:rPr>
        <w:t>以</w:t>
      </w:r>
      <w:r w:rsidRPr="00D51C6A">
        <w:rPr>
          <w:rFonts w:eastAsia="仿宋_GB2312"/>
          <w:color w:val="000000"/>
          <w:sz w:val="32"/>
          <w:szCs w:val="32"/>
        </w:rPr>
        <w:t>“</w:t>
      </w:r>
      <w:r w:rsidRPr="00D51C6A">
        <w:rPr>
          <w:rFonts w:eastAsia="仿宋_GB2312"/>
          <w:color w:val="000000"/>
          <w:sz w:val="32"/>
          <w:szCs w:val="32"/>
        </w:rPr>
        <w:t>手</w:t>
      </w:r>
      <w:r w:rsidRPr="00D51C6A">
        <w:rPr>
          <w:rFonts w:eastAsia="仿宋_GB2312"/>
          <w:color w:val="000000"/>
          <w:sz w:val="32"/>
          <w:szCs w:val="32"/>
        </w:rPr>
        <w:t>”</w:t>
      </w:r>
      <w:r w:rsidRPr="00D51C6A">
        <w:rPr>
          <w:rFonts w:eastAsia="仿宋_GB2312"/>
          <w:color w:val="000000"/>
          <w:sz w:val="32"/>
          <w:szCs w:val="32"/>
        </w:rPr>
        <w:t>为单位</w:t>
      </w:r>
      <w:r w:rsidRPr="00D51C6A">
        <w:rPr>
          <w:rFonts w:eastAsia="仿宋_GB2312"/>
          <w:color w:val="000000"/>
          <w:sz w:val="32"/>
          <w:szCs w:val="32"/>
        </w:rPr>
        <w:t>,</w:t>
      </w:r>
      <w:r w:rsidRPr="00D51C6A">
        <w:rPr>
          <w:rFonts w:eastAsia="仿宋_GB2312"/>
          <w:color w:val="000000"/>
          <w:sz w:val="32"/>
          <w:szCs w:val="32"/>
        </w:rPr>
        <w:t>不足一手的按如下方法计算：首先对每个交易编码所分配到的平仓数量的整数部分进行分配，然后按小数部分由大到小的顺序</w:t>
      </w:r>
      <w:r w:rsidRPr="00D51C6A">
        <w:rPr>
          <w:rFonts w:eastAsia="仿宋_GB2312"/>
          <w:color w:val="000000"/>
          <w:sz w:val="32"/>
          <w:szCs w:val="32"/>
        </w:rPr>
        <w:t>“</w:t>
      </w:r>
      <w:r w:rsidRPr="00D51C6A">
        <w:rPr>
          <w:rFonts w:eastAsia="仿宋_GB2312"/>
          <w:color w:val="000000"/>
          <w:sz w:val="32"/>
          <w:szCs w:val="32"/>
        </w:rPr>
        <w:t>进位取整</w:t>
      </w:r>
      <w:r w:rsidRPr="00D51C6A">
        <w:rPr>
          <w:rFonts w:eastAsia="仿宋_GB2312"/>
          <w:color w:val="000000"/>
          <w:sz w:val="32"/>
          <w:szCs w:val="32"/>
        </w:rPr>
        <w:t>”</w:t>
      </w:r>
      <w:r w:rsidRPr="00D51C6A">
        <w:rPr>
          <w:rFonts w:eastAsia="仿宋_GB2312"/>
          <w:color w:val="000000"/>
          <w:sz w:val="32"/>
          <w:szCs w:val="32"/>
        </w:rPr>
        <w:t>进行分配。</w:t>
      </w:r>
    </w:p>
    <w:p w14:paraId="087FA8C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（五）强制减仓的执行</w:t>
      </w:r>
    </w:p>
    <w:p w14:paraId="247BC67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强制减仓于第</w:t>
      </w:r>
      <w:r w:rsidRPr="00D51C6A">
        <w:rPr>
          <w:rFonts w:eastAsia="仿宋_GB2312"/>
          <w:color w:val="000000"/>
          <w:sz w:val="32"/>
          <w:szCs w:val="32"/>
        </w:rPr>
        <w:t>N +2</w:t>
      </w:r>
      <w:r w:rsidRPr="00D51C6A">
        <w:rPr>
          <w:rFonts w:eastAsia="仿宋_GB2312"/>
          <w:color w:val="000000"/>
          <w:sz w:val="32"/>
          <w:szCs w:val="32"/>
        </w:rPr>
        <w:t>个交易日收市后由交易系统按强制减</w:t>
      </w:r>
      <w:proofErr w:type="gramStart"/>
      <w:r w:rsidRPr="00D51C6A">
        <w:rPr>
          <w:rFonts w:eastAsia="仿宋_GB2312"/>
          <w:color w:val="000000"/>
          <w:sz w:val="32"/>
          <w:szCs w:val="32"/>
        </w:rPr>
        <w:t>仓原则</w:t>
      </w:r>
      <w:proofErr w:type="gramEnd"/>
      <w:r w:rsidRPr="00D51C6A">
        <w:rPr>
          <w:rFonts w:eastAsia="仿宋_GB2312"/>
          <w:color w:val="000000"/>
          <w:sz w:val="32"/>
          <w:szCs w:val="32"/>
        </w:rPr>
        <w:t>自动执行，强制减</w:t>
      </w:r>
      <w:proofErr w:type="gramStart"/>
      <w:r w:rsidRPr="00D51C6A">
        <w:rPr>
          <w:rFonts w:eastAsia="仿宋_GB2312"/>
          <w:color w:val="000000"/>
          <w:sz w:val="32"/>
          <w:szCs w:val="32"/>
        </w:rPr>
        <w:t>仓结果</w:t>
      </w:r>
      <w:proofErr w:type="gramEnd"/>
      <w:r w:rsidRPr="00D51C6A">
        <w:rPr>
          <w:rFonts w:eastAsia="仿宋_GB2312"/>
          <w:color w:val="000000"/>
          <w:sz w:val="32"/>
          <w:szCs w:val="32"/>
        </w:rPr>
        <w:t>作为第</w:t>
      </w:r>
      <w:r w:rsidRPr="00D51C6A">
        <w:rPr>
          <w:rFonts w:eastAsia="仿宋_GB2312"/>
          <w:color w:val="000000"/>
          <w:sz w:val="32"/>
          <w:szCs w:val="32"/>
        </w:rPr>
        <w:t>N +2</w:t>
      </w:r>
      <w:r w:rsidRPr="00D51C6A">
        <w:rPr>
          <w:rFonts w:eastAsia="仿宋_GB2312"/>
          <w:color w:val="000000"/>
          <w:sz w:val="32"/>
          <w:szCs w:val="32"/>
        </w:rPr>
        <w:t>个交易日会员的交易结果。</w:t>
      </w:r>
    </w:p>
    <w:p w14:paraId="3B78D49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（六）强制减仓的价格</w:t>
      </w:r>
    </w:p>
    <w:p w14:paraId="257F674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强制减仓的价格为该</w:t>
      </w:r>
      <w:proofErr w:type="gramStart"/>
      <w:r w:rsidRPr="00D51C6A">
        <w:rPr>
          <w:rFonts w:eastAsia="仿宋_GB2312"/>
          <w:color w:val="000000"/>
          <w:sz w:val="32"/>
          <w:szCs w:val="32"/>
        </w:rPr>
        <w:t>合约第</w:t>
      </w:r>
      <w:proofErr w:type="gramEnd"/>
      <w:r w:rsidRPr="00D51C6A">
        <w:rPr>
          <w:rFonts w:eastAsia="仿宋_GB2312"/>
          <w:color w:val="000000"/>
          <w:sz w:val="32"/>
          <w:szCs w:val="32"/>
        </w:rPr>
        <w:t>N +2</w:t>
      </w:r>
      <w:r w:rsidRPr="00D51C6A">
        <w:rPr>
          <w:rFonts w:eastAsia="仿宋_GB2312"/>
          <w:color w:val="000000"/>
          <w:sz w:val="32"/>
          <w:szCs w:val="32"/>
        </w:rPr>
        <w:t>个交易日的涨</w:t>
      </w:r>
      <w:r w:rsidRPr="00D51C6A">
        <w:rPr>
          <w:rFonts w:eastAsia="仿宋_GB2312"/>
          <w:color w:val="000000"/>
          <w:sz w:val="32"/>
          <w:szCs w:val="32"/>
        </w:rPr>
        <w:t>(</w:t>
      </w:r>
      <w:r w:rsidRPr="00D51C6A">
        <w:rPr>
          <w:rFonts w:eastAsia="仿宋_GB2312"/>
          <w:color w:val="000000"/>
          <w:sz w:val="32"/>
          <w:szCs w:val="32"/>
        </w:rPr>
        <w:t>跌</w:t>
      </w:r>
      <w:r w:rsidRPr="00D51C6A">
        <w:rPr>
          <w:rFonts w:eastAsia="仿宋_GB2312"/>
          <w:color w:val="000000"/>
          <w:sz w:val="32"/>
          <w:szCs w:val="32"/>
        </w:rPr>
        <w:t>)</w:t>
      </w:r>
      <w:r w:rsidRPr="00D51C6A">
        <w:rPr>
          <w:rFonts w:eastAsia="仿宋_GB2312"/>
          <w:color w:val="000000"/>
          <w:sz w:val="32"/>
          <w:szCs w:val="32"/>
        </w:rPr>
        <w:t>停板价。</w:t>
      </w:r>
    </w:p>
    <w:p w14:paraId="23AA469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（七）由上述减</w:t>
      </w:r>
      <w:proofErr w:type="gramStart"/>
      <w:r w:rsidRPr="00D51C6A">
        <w:rPr>
          <w:rFonts w:eastAsia="仿宋_GB2312"/>
          <w:color w:val="000000"/>
          <w:sz w:val="32"/>
          <w:szCs w:val="32"/>
        </w:rPr>
        <w:t>仓造成</w:t>
      </w:r>
      <w:proofErr w:type="gramEnd"/>
      <w:r w:rsidRPr="00D51C6A">
        <w:rPr>
          <w:rFonts w:eastAsia="仿宋_GB2312"/>
          <w:color w:val="000000"/>
          <w:sz w:val="32"/>
          <w:szCs w:val="32"/>
        </w:rPr>
        <w:t>的经济损失由会员、境外经纪机构及客户承担。</w:t>
      </w:r>
    </w:p>
    <w:p w14:paraId="5662FE5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第二十四条</w:t>
      </w:r>
      <w:r w:rsidRPr="00D51C6A">
        <w:rPr>
          <w:rFonts w:eastAsia="仿宋_GB2312"/>
          <w:color w:val="000000"/>
          <w:sz w:val="32"/>
          <w:szCs w:val="32"/>
        </w:rPr>
        <w:t xml:space="preserve"> </w:t>
      </w:r>
      <w:r w:rsidRPr="00D51C6A">
        <w:rPr>
          <w:rFonts w:eastAsia="仿宋_GB2312"/>
          <w:color w:val="000000"/>
          <w:sz w:val="32"/>
          <w:szCs w:val="32"/>
        </w:rPr>
        <w:t>该合约在采取上述措施后</w:t>
      </w:r>
      <w:proofErr w:type="gramStart"/>
      <w:r w:rsidRPr="00D51C6A">
        <w:rPr>
          <w:rFonts w:eastAsia="仿宋_GB2312"/>
          <w:color w:val="000000"/>
          <w:sz w:val="32"/>
          <w:szCs w:val="32"/>
        </w:rPr>
        <w:t>若风险</w:t>
      </w:r>
      <w:proofErr w:type="gramEnd"/>
      <w:r w:rsidRPr="00D51C6A">
        <w:rPr>
          <w:rFonts w:eastAsia="仿宋_GB2312"/>
          <w:color w:val="000000"/>
          <w:sz w:val="32"/>
          <w:szCs w:val="32"/>
        </w:rPr>
        <w:t>仍未释放，则交易所宣布为异常情况，并按有关规定采取风险控制措施。</w:t>
      </w:r>
    </w:p>
    <w:p w14:paraId="2EC480F6"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第四章 限仓制度</w:t>
      </w:r>
    </w:p>
    <w:p w14:paraId="4394350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第二十五条</w:t>
      </w:r>
      <w:r w:rsidRPr="00D51C6A">
        <w:rPr>
          <w:rFonts w:eastAsia="仿宋_GB2312"/>
          <w:color w:val="000000"/>
          <w:sz w:val="32"/>
          <w:szCs w:val="32"/>
        </w:rPr>
        <w:t xml:space="preserve"> </w:t>
      </w:r>
      <w:r w:rsidRPr="00D51C6A">
        <w:rPr>
          <w:rFonts w:eastAsia="仿宋_GB2312"/>
          <w:color w:val="000000"/>
          <w:sz w:val="32"/>
          <w:szCs w:val="32"/>
        </w:rPr>
        <w:t>交易所实行限仓制度。限仓是指交易所规定会员或客户可以持有的，按单边计算的某一合约投机头寸的最大数额。具有实际控制关系的客户和非期货公司会员的持仓合并计算。</w:t>
      </w:r>
    </w:p>
    <w:p w14:paraId="27C361A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第二十六条</w:t>
      </w:r>
      <w:r w:rsidRPr="00D51C6A">
        <w:rPr>
          <w:rFonts w:eastAsia="仿宋_GB2312"/>
          <w:color w:val="000000"/>
          <w:sz w:val="32"/>
          <w:szCs w:val="32"/>
        </w:rPr>
        <w:t xml:space="preserve"> </w:t>
      </w:r>
      <w:r w:rsidRPr="00D51C6A">
        <w:rPr>
          <w:rFonts w:eastAsia="仿宋_GB2312"/>
          <w:color w:val="000000"/>
          <w:sz w:val="32"/>
          <w:szCs w:val="32"/>
        </w:rPr>
        <w:t>限仓实行以下基本制度：</w:t>
      </w:r>
    </w:p>
    <w:p w14:paraId="0D8707A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（一）根据不同期货品种的具体情况，分别确定每一品种每一月份期货合约的限仓数额；</w:t>
      </w:r>
    </w:p>
    <w:p w14:paraId="103DA1C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（二）某一月份期货合约在其交易过程中的不同阶段，分别适用不同的限仓数额，进入交割月份的期货合约限仓数额从严控制；</w:t>
      </w:r>
    </w:p>
    <w:p w14:paraId="27734E4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（三）套期保值、套利持仓根据《大连商品交易所套期保值管理办法》、《大连商品交易所套利交易管理办法》等有关规定进行管理。</w:t>
      </w:r>
    </w:p>
    <w:p w14:paraId="0D8E68C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第二十七条</w:t>
      </w:r>
      <w:r w:rsidRPr="00D51C6A">
        <w:rPr>
          <w:rFonts w:eastAsia="仿宋_GB2312"/>
          <w:color w:val="000000"/>
          <w:sz w:val="32"/>
          <w:szCs w:val="32"/>
        </w:rPr>
        <w:t xml:space="preserve"> </w:t>
      </w:r>
      <w:r w:rsidRPr="00D51C6A">
        <w:rPr>
          <w:rFonts w:eastAsia="仿宋_GB2312"/>
          <w:color w:val="000000"/>
          <w:sz w:val="32"/>
          <w:szCs w:val="32"/>
        </w:rPr>
        <w:t>同一客户在不同期货公司会员处开有多个交易编码，各交易编码上所有持</w:t>
      </w:r>
      <w:proofErr w:type="gramStart"/>
      <w:r w:rsidRPr="00D51C6A">
        <w:rPr>
          <w:rFonts w:eastAsia="仿宋_GB2312"/>
          <w:color w:val="000000"/>
          <w:sz w:val="32"/>
          <w:szCs w:val="32"/>
        </w:rPr>
        <w:t>仓头</w:t>
      </w:r>
      <w:proofErr w:type="gramEnd"/>
      <w:r w:rsidRPr="00D51C6A">
        <w:rPr>
          <w:rFonts w:eastAsia="仿宋_GB2312"/>
          <w:color w:val="000000"/>
          <w:sz w:val="32"/>
          <w:szCs w:val="32"/>
        </w:rPr>
        <w:t>寸的合计数，不得超出一个客户的限仓数额。</w:t>
      </w:r>
    </w:p>
    <w:p w14:paraId="2B56B7F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第二十八条</w:t>
      </w:r>
      <w:r w:rsidRPr="00D51C6A">
        <w:rPr>
          <w:rFonts w:eastAsia="仿宋_GB2312"/>
          <w:color w:val="000000"/>
          <w:sz w:val="32"/>
          <w:szCs w:val="32"/>
        </w:rPr>
        <w:t xml:space="preserve">  </w:t>
      </w:r>
      <w:r w:rsidRPr="00D51C6A">
        <w:rPr>
          <w:rFonts w:eastAsia="仿宋_GB2312"/>
          <w:color w:val="000000"/>
          <w:sz w:val="32"/>
          <w:szCs w:val="32"/>
        </w:rPr>
        <w:t>非期货公司会员和客户采取不同的限仓要求：</w:t>
      </w:r>
    </w:p>
    <w:p w14:paraId="38DB78F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鸡蛋、乙二醇以外品种期货合约上市交易的一般月份（合约上市至交割月份前一个月第十四个交易日）期间，当该合约的单边持仓量达到一定规模起，非期货公司会员和客户按单边持仓量的一定比例确定限仓数额；在该合约的单边</w:t>
      </w:r>
      <w:r w:rsidRPr="00D51C6A">
        <w:rPr>
          <w:rFonts w:eastAsia="仿宋_GB2312"/>
          <w:color w:val="000000"/>
          <w:sz w:val="32"/>
          <w:szCs w:val="32"/>
        </w:rPr>
        <w:lastRenderedPageBreak/>
        <w:t>持仓量达到</w:t>
      </w:r>
      <w:proofErr w:type="gramStart"/>
      <w:r w:rsidRPr="00D51C6A">
        <w:rPr>
          <w:rFonts w:eastAsia="仿宋_GB2312"/>
          <w:color w:val="000000"/>
          <w:sz w:val="32"/>
          <w:szCs w:val="32"/>
        </w:rPr>
        <w:t>该规模前</w:t>
      </w:r>
      <w:proofErr w:type="gramEnd"/>
      <w:r w:rsidRPr="00D51C6A">
        <w:rPr>
          <w:rFonts w:eastAsia="仿宋_GB2312"/>
          <w:color w:val="000000"/>
          <w:sz w:val="32"/>
          <w:szCs w:val="32"/>
        </w:rPr>
        <w:t>，非期货公司会员和客户该合约限仓数额以绝对</w:t>
      </w:r>
      <w:proofErr w:type="gramStart"/>
      <w:r w:rsidRPr="00D51C6A">
        <w:rPr>
          <w:rFonts w:eastAsia="仿宋_GB2312"/>
          <w:color w:val="000000"/>
          <w:sz w:val="32"/>
          <w:szCs w:val="32"/>
        </w:rPr>
        <w:t>量方式</w:t>
      </w:r>
      <w:proofErr w:type="gramEnd"/>
      <w:r w:rsidRPr="00D51C6A">
        <w:rPr>
          <w:rFonts w:eastAsia="仿宋_GB2312"/>
          <w:color w:val="000000"/>
          <w:sz w:val="32"/>
          <w:szCs w:val="32"/>
        </w:rPr>
        <w:t>规定。在期货合约进入交割月份前一个月第十五个交易日至交割月期间，非期货公司会员和客户限仓数额以绝对</w:t>
      </w:r>
      <w:proofErr w:type="gramStart"/>
      <w:r w:rsidRPr="00D51C6A">
        <w:rPr>
          <w:rFonts w:eastAsia="仿宋_GB2312"/>
          <w:color w:val="000000"/>
          <w:sz w:val="32"/>
          <w:szCs w:val="32"/>
        </w:rPr>
        <w:t>量方式</w:t>
      </w:r>
      <w:proofErr w:type="gramEnd"/>
      <w:r w:rsidRPr="00D51C6A">
        <w:rPr>
          <w:rFonts w:eastAsia="仿宋_GB2312"/>
          <w:color w:val="000000"/>
          <w:sz w:val="32"/>
          <w:szCs w:val="32"/>
        </w:rPr>
        <w:t>规定。鸡蛋品种非期货公司会员和客户的限仓数额以绝对</w:t>
      </w:r>
      <w:proofErr w:type="gramStart"/>
      <w:r w:rsidRPr="00D51C6A">
        <w:rPr>
          <w:rFonts w:eastAsia="仿宋_GB2312"/>
          <w:color w:val="000000"/>
          <w:sz w:val="32"/>
          <w:szCs w:val="32"/>
        </w:rPr>
        <w:t>量方式</w:t>
      </w:r>
      <w:proofErr w:type="gramEnd"/>
      <w:r w:rsidRPr="00D51C6A">
        <w:rPr>
          <w:rFonts w:eastAsia="仿宋_GB2312"/>
          <w:color w:val="000000"/>
          <w:sz w:val="32"/>
          <w:szCs w:val="32"/>
        </w:rPr>
        <w:t>规定。乙二醇品种非期货公司会员和客户的限仓数额，在合约上市至交割月前一个月最后一个交易日期间根据合约的单边持仓量规定；交割月期间以绝对</w:t>
      </w:r>
      <w:proofErr w:type="gramStart"/>
      <w:r w:rsidRPr="00D51C6A">
        <w:rPr>
          <w:rFonts w:eastAsia="仿宋_GB2312"/>
          <w:color w:val="000000"/>
          <w:sz w:val="32"/>
          <w:szCs w:val="32"/>
        </w:rPr>
        <w:t>量方式</w:t>
      </w:r>
      <w:proofErr w:type="gramEnd"/>
      <w:r w:rsidRPr="00D51C6A">
        <w:rPr>
          <w:rFonts w:eastAsia="仿宋_GB2312"/>
          <w:color w:val="000000"/>
          <w:sz w:val="32"/>
          <w:szCs w:val="32"/>
        </w:rPr>
        <w:t>规定。</w:t>
      </w:r>
    </w:p>
    <w:p w14:paraId="56BD2C9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第二十九条</w:t>
      </w:r>
      <w:r w:rsidRPr="00D51C6A">
        <w:rPr>
          <w:rFonts w:eastAsia="仿宋_GB2312"/>
          <w:color w:val="000000"/>
          <w:sz w:val="32"/>
          <w:szCs w:val="32"/>
        </w:rPr>
        <w:t xml:space="preserve">  </w:t>
      </w:r>
      <w:r w:rsidRPr="00D51C6A">
        <w:rPr>
          <w:rFonts w:eastAsia="仿宋_GB2312"/>
          <w:color w:val="000000"/>
          <w:sz w:val="32"/>
          <w:szCs w:val="32"/>
        </w:rPr>
        <w:t>除鸡蛋、乙二醇品种外，各品种期货合约一般月份（合约上市至交割月份前一个月第十四个交易日）非期货公司会员和客户持仓限额见下表：（单位：手）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098"/>
        <w:gridCol w:w="2175"/>
        <w:gridCol w:w="1841"/>
        <w:gridCol w:w="1642"/>
      </w:tblGrid>
      <w:tr w:rsidR="00F13EF7" w:rsidRPr="00D51C6A" w14:paraId="734B618C" w14:textId="77777777" w:rsidTr="00752AC1">
        <w:trPr>
          <w:trHeight w:val="1243"/>
          <w:tblCellSpacing w:w="0" w:type="dxa"/>
        </w:trPr>
        <w:tc>
          <w:tcPr>
            <w:tcW w:w="2098" w:type="dxa"/>
            <w:noWrap/>
            <w:vAlign w:val="center"/>
          </w:tcPr>
          <w:p w14:paraId="326597C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品种</w:t>
            </w:r>
          </w:p>
        </w:tc>
        <w:tc>
          <w:tcPr>
            <w:tcW w:w="2175" w:type="dxa"/>
            <w:vAlign w:val="center"/>
          </w:tcPr>
          <w:p w14:paraId="7E7C296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合约单边持仓规模</w:t>
            </w:r>
          </w:p>
        </w:tc>
        <w:tc>
          <w:tcPr>
            <w:tcW w:w="1841" w:type="dxa"/>
            <w:vAlign w:val="center"/>
          </w:tcPr>
          <w:p w14:paraId="7C4CF6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非期货公司会员</w:t>
            </w:r>
          </w:p>
        </w:tc>
        <w:tc>
          <w:tcPr>
            <w:tcW w:w="1642" w:type="dxa"/>
            <w:vAlign w:val="center"/>
          </w:tcPr>
          <w:p w14:paraId="2FA54B6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客户</w:t>
            </w:r>
          </w:p>
        </w:tc>
      </w:tr>
      <w:tr w:rsidR="00F13EF7" w:rsidRPr="00D51C6A" w14:paraId="614F1F30" w14:textId="77777777" w:rsidTr="00752AC1">
        <w:trPr>
          <w:trHeight w:val="1258"/>
          <w:tblCellSpacing w:w="0" w:type="dxa"/>
        </w:trPr>
        <w:tc>
          <w:tcPr>
            <w:tcW w:w="2098" w:type="dxa"/>
            <w:vMerge w:val="restart"/>
            <w:noWrap/>
            <w:vAlign w:val="center"/>
          </w:tcPr>
          <w:p w14:paraId="2DEA269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1</w:t>
            </w:r>
            <w:r w:rsidRPr="00D51C6A">
              <w:rPr>
                <w:rFonts w:eastAsia="仿宋_GB2312"/>
                <w:color w:val="000000"/>
                <w:sz w:val="32"/>
                <w:szCs w:val="32"/>
              </w:rPr>
              <w:t>号</w:t>
            </w:r>
          </w:p>
        </w:tc>
        <w:tc>
          <w:tcPr>
            <w:tcW w:w="2175" w:type="dxa"/>
            <w:vAlign w:val="center"/>
          </w:tcPr>
          <w:p w14:paraId="0AD7CDC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13FDC0A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c>
          <w:tcPr>
            <w:tcW w:w="1642" w:type="dxa"/>
            <w:vAlign w:val="center"/>
          </w:tcPr>
          <w:p w14:paraId="08D4A87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3D21E550" w14:textId="77777777" w:rsidTr="00752AC1">
        <w:trPr>
          <w:trHeight w:val="1258"/>
          <w:tblCellSpacing w:w="0" w:type="dxa"/>
        </w:trPr>
        <w:tc>
          <w:tcPr>
            <w:tcW w:w="2098" w:type="dxa"/>
            <w:vMerge/>
            <w:noWrap/>
            <w:vAlign w:val="center"/>
          </w:tcPr>
          <w:p w14:paraId="336C655B" w14:textId="77777777" w:rsidR="00F13EF7" w:rsidRPr="00D51C6A" w:rsidRDefault="00F13EF7" w:rsidP="00752AC1">
            <w:pPr>
              <w:rPr>
                <w:rFonts w:eastAsia="仿宋_GB2312"/>
                <w:color w:val="000000"/>
                <w:sz w:val="32"/>
                <w:szCs w:val="32"/>
              </w:rPr>
            </w:pPr>
          </w:p>
        </w:tc>
        <w:tc>
          <w:tcPr>
            <w:tcW w:w="2175" w:type="dxa"/>
            <w:vAlign w:val="center"/>
          </w:tcPr>
          <w:p w14:paraId="607923A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2258D3F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44C7B97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1E39B7C6" w14:textId="77777777" w:rsidTr="00752AC1">
        <w:trPr>
          <w:trHeight w:val="1258"/>
          <w:tblCellSpacing w:w="0" w:type="dxa"/>
        </w:trPr>
        <w:tc>
          <w:tcPr>
            <w:tcW w:w="2098" w:type="dxa"/>
            <w:vMerge w:val="restart"/>
            <w:noWrap/>
            <w:vAlign w:val="center"/>
          </w:tcPr>
          <w:p w14:paraId="58670FE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2</w:t>
            </w:r>
            <w:r w:rsidRPr="00D51C6A">
              <w:rPr>
                <w:rFonts w:eastAsia="仿宋_GB2312"/>
                <w:color w:val="000000"/>
                <w:sz w:val="32"/>
                <w:szCs w:val="32"/>
              </w:rPr>
              <w:t>号</w:t>
            </w:r>
          </w:p>
        </w:tc>
        <w:tc>
          <w:tcPr>
            <w:tcW w:w="2175" w:type="dxa"/>
            <w:vAlign w:val="center"/>
          </w:tcPr>
          <w:p w14:paraId="04DA8CC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4F568E8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46A760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3529CF57" w14:textId="77777777" w:rsidTr="00752AC1">
        <w:trPr>
          <w:trHeight w:val="1258"/>
          <w:tblCellSpacing w:w="0" w:type="dxa"/>
        </w:trPr>
        <w:tc>
          <w:tcPr>
            <w:tcW w:w="2098" w:type="dxa"/>
            <w:vMerge/>
            <w:noWrap/>
            <w:vAlign w:val="center"/>
          </w:tcPr>
          <w:p w14:paraId="274BE0DA" w14:textId="77777777" w:rsidR="00F13EF7" w:rsidRPr="00D51C6A" w:rsidRDefault="00F13EF7" w:rsidP="00752AC1">
            <w:pPr>
              <w:rPr>
                <w:rFonts w:eastAsia="仿宋_GB2312"/>
                <w:color w:val="000000"/>
                <w:sz w:val="32"/>
                <w:szCs w:val="32"/>
              </w:rPr>
            </w:pPr>
          </w:p>
        </w:tc>
        <w:tc>
          <w:tcPr>
            <w:tcW w:w="2175" w:type="dxa"/>
            <w:vAlign w:val="center"/>
          </w:tcPr>
          <w:p w14:paraId="24FDCE5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37E1632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5CA4B11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4C246A58" w14:textId="77777777" w:rsidTr="00752AC1">
        <w:trPr>
          <w:trHeight w:val="1258"/>
          <w:tblCellSpacing w:w="0" w:type="dxa"/>
        </w:trPr>
        <w:tc>
          <w:tcPr>
            <w:tcW w:w="2098" w:type="dxa"/>
            <w:vMerge w:val="restart"/>
            <w:noWrap/>
            <w:vAlign w:val="center"/>
          </w:tcPr>
          <w:p w14:paraId="2004013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lastRenderedPageBreak/>
              <w:t>豆</w:t>
            </w:r>
            <w:proofErr w:type="gramStart"/>
            <w:r w:rsidRPr="00D51C6A">
              <w:rPr>
                <w:rFonts w:eastAsia="仿宋_GB2312"/>
                <w:color w:val="000000"/>
                <w:sz w:val="32"/>
                <w:szCs w:val="32"/>
              </w:rPr>
              <w:t>粕</w:t>
            </w:r>
            <w:proofErr w:type="gramEnd"/>
          </w:p>
        </w:tc>
        <w:tc>
          <w:tcPr>
            <w:tcW w:w="2175" w:type="dxa"/>
            <w:vAlign w:val="center"/>
          </w:tcPr>
          <w:p w14:paraId="54B069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0ED3475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80,000</w:t>
            </w:r>
          </w:p>
        </w:tc>
        <w:tc>
          <w:tcPr>
            <w:tcW w:w="1642" w:type="dxa"/>
            <w:vAlign w:val="center"/>
          </w:tcPr>
          <w:p w14:paraId="5A64127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r>
      <w:tr w:rsidR="00F13EF7" w:rsidRPr="00D51C6A" w14:paraId="47DBEFCC" w14:textId="77777777" w:rsidTr="00752AC1">
        <w:trPr>
          <w:trHeight w:val="1258"/>
          <w:tblCellSpacing w:w="0" w:type="dxa"/>
        </w:trPr>
        <w:tc>
          <w:tcPr>
            <w:tcW w:w="2098" w:type="dxa"/>
            <w:vMerge/>
            <w:noWrap/>
            <w:vAlign w:val="center"/>
          </w:tcPr>
          <w:p w14:paraId="2C107E06" w14:textId="77777777" w:rsidR="00F13EF7" w:rsidRPr="00D51C6A" w:rsidRDefault="00F13EF7" w:rsidP="00752AC1">
            <w:pPr>
              <w:rPr>
                <w:rFonts w:eastAsia="仿宋_GB2312"/>
                <w:color w:val="000000"/>
                <w:sz w:val="32"/>
                <w:szCs w:val="32"/>
              </w:rPr>
            </w:pPr>
          </w:p>
        </w:tc>
        <w:tc>
          <w:tcPr>
            <w:tcW w:w="2175" w:type="dxa"/>
            <w:vAlign w:val="center"/>
          </w:tcPr>
          <w:p w14:paraId="0FBF6DA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3DDF098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307D095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35F8947" w14:textId="77777777" w:rsidTr="00752AC1">
        <w:trPr>
          <w:trHeight w:val="1273"/>
          <w:tblCellSpacing w:w="0" w:type="dxa"/>
        </w:trPr>
        <w:tc>
          <w:tcPr>
            <w:tcW w:w="2098" w:type="dxa"/>
            <w:vMerge w:val="restart"/>
            <w:noWrap/>
            <w:vAlign w:val="center"/>
          </w:tcPr>
          <w:p w14:paraId="5B8B50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w:t>
            </w:r>
          </w:p>
        </w:tc>
        <w:tc>
          <w:tcPr>
            <w:tcW w:w="2175" w:type="dxa"/>
            <w:vAlign w:val="center"/>
          </w:tcPr>
          <w:p w14:paraId="0AA9C30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2DAC3C8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80,000</w:t>
            </w:r>
          </w:p>
        </w:tc>
        <w:tc>
          <w:tcPr>
            <w:tcW w:w="1642" w:type="dxa"/>
            <w:vAlign w:val="center"/>
          </w:tcPr>
          <w:p w14:paraId="439B2E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r>
      <w:tr w:rsidR="00F13EF7" w:rsidRPr="00D51C6A" w14:paraId="0E614D57" w14:textId="77777777" w:rsidTr="00752AC1">
        <w:trPr>
          <w:trHeight w:val="1273"/>
          <w:tblCellSpacing w:w="0" w:type="dxa"/>
        </w:trPr>
        <w:tc>
          <w:tcPr>
            <w:tcW w:w="2098" w:type="dxa"/>
            <w:vMerge/>
            <w:noWrap/>
            <w:vAlign w:val="center"/>
          </w:tcPr>
          <w:p w14:paraId="7322269B" w14:textId="77777777" w:rsidR="00F13EF7" w:rsidRPr="00D51C6A" w:rsidRDefault="00F13EF7" w:rsidP="00752AC1">
            <w:pPr>
              <w:rPr>
                <w:rFonts w:eastAsia="仿宋_GB2312"/>
                <w:color w:val="000000"/>
                <w:sz w:val="32"/>
                <w:szCs w:val="32"/>
              </w:rPr>
            </w:pPr>
          </w:p>
        </w:tc>
        <w:tc>
          <w:tcPr>
            <w:tcW w:w="2175" w:type="dxa"/>
            <w:vAlign w:val="center"/>
          </w:tcPr>
          <w:p w14:paraId="003002E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4CEBC4F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0BEFECE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0F748217" w14:textId="77777777" w:rsidTr="00752AC1">
        <w:trPr>
          <w:trHeight w:val="1258"/>
          <w:tblCellSpacing w:w="0" w:type="dxa"/>
        </w:trPr>
        <w:tc>
          <w:tcPr>
            <w:tcW w:w="2098" w:type="dxa"/>
            <w:vMerge w:val="restart"/>
            <w:noWrap/>
            <w:vAlign w:val="center"/>
          </w:tcPr>
          <w:p w14:paraId="45E0C52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豆油</w:t>
            </w:r>
          </w:p>
        </w:tc>
        <w:tc>
          <w:tcPr>
            <w:tcW w:w="2175" w:type="dxa"/>
            <w:vAlign w:val="center"/>
          </w:tcPr>
          <w:p w14:paraId="5AF7DB4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71A5286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c>
          <w:tcPr>
            <w:tcW w:w="1642" w:type="dxa"/>
            <w:vAlign w:val="center"/>
          </w:tcPr>
          <w:p w14:paraId="680B2AC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389A4323" w14:textId="77777777" w:rsidTr="00752AC1">
        <w:trPr>
          <w:trHeight w:val="1258"/>
          <w:tblCellSpacing w:w="0" w:type="dxa"/>
        </w:trPr>
        <w:tc>
          <w:tcPr>
            <w:tcW w:w="2098" w:type="dxa"/>
            <w:vMerge/>
            <w:noWrap/>
            <w:vAlign w:val="center"/>
          </w:tcPr>
          <w:p w14:paraId="03AF5A84" w14:textId="77777777" w:rsidR="00F13EF7" w:rsidRPr="00D51C6A" w:rsidRDefault="00F13EF7" w:rsidP="00752AC1">
            <w:pPr>
              <w:rPr>
                <w:rFonts w:eastAsia="仿宋_GB2312"/>
                <w:color w:val="000000"/>
                <w:sz w:val="32"/>
                <w:szCs w:val="32"/>
              </w:rPr>
            </w:pPr>
          </w:p>
        </w:tc>
        <w:tc>
          <w:tcPr>
            <w:tcW w:w="2175" w:type="dxa"/>
            <w:vAlign w:val="center"/>
          </w:tcPr>
          <w:p w14:paraId="7930293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47AAADE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79DD448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1805F0D9" w14:textId="77777777" w:rsidTr="00752AC1">
        <w:trPr>
          <w:trHeight w:val="1258"/>
          <w:tblCellSpacing w:w="0" w:type="dxa"/>
        </w:trPr>
        <w:tc>
          <w:tcPr>
            <w:tcW w:w="2098" w:type="dxa"/>
            <w:vMerge w:val="restart"/>
            <w:noWrap/>
            <w:vAlign w:val="center"/>
          </w:tcPr>
          <w:p w14:paraId="110E5EC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棕榈油</w:t>
            </w:r>
          </w:p>
        </w:tc>
        <w:tc>
          <w:tcPr>
            <w:tcW w:w="2175" w:type="dxa"/>
            <w:vAlign w:val="center"/>
          </w:tcPr>
          <w:p w14:paraId="6F56893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65DB51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29E02C0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r>
      <w:tr w:rsidR="00F13EF7" w:rsidRPr="00D51C6A" w14:paraId="42C5D28C" w14:textId="77777777" w:rsidTr="00752AC1">
        <w:trPr>
          <w:trHeight w:val="1258"/>
          <w:tblCellSpacing w:w="0" w:type="dxa"/>
        </w:trPr>
        <w:tc>
          <w:tcPr>
            <w:tcW w:w="2098" w:type="dxa"/>
            <w:vMerge/>
            <w:noWrap/>
            <w:vAlign w:val="center"/>
          </w:tcPr>
          <w:p w14:paraId="36F56250" w14:textId="77777777" w:rsidR="00F13EF7" w:rsidRPr="00D51C6A" w:rsidRDefault="00F13EF7" w:rsidP="00752AC1">
            <w:pPr>
              <w:rPr>
                <w:rFonts w:eastAsia="仿宋_GB2312"/>
                <w:color w:val="000000"/>
                <w:sz w:val="32"/>
                <w:szCs w:val="32"/>
              </w:rPr>
            </w:pPr>
          </w:p>
        </w:tc>
        <w:tc>
          <w:tcPr>
            <w:tcW w:w="2175" w:type="dxa"/>
            <w:vAlign w:val="center"/>
          </w:tcPr>
          <w:p w14:paraId="7EC97AB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1275AEA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47B9ECF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4DEB055F" w14:textId="77777777" w:rsidTr="00752AC1">
        <w:trPr>
          <w:trHeight w:val="1258"/>
          <w:tblCellSpacing w:w="0" w:type="dxa"/>
        </w:trPr>
        <w:tc>
          <w:tcPr>
            <w:tcW w:w="2098" w:type="dxa"/>
            <w:vMerge w:val="restart"/>
            <w:vAlign w:val="center"/>
          </w:tcPr>
          <w:p w14:paraId="3A2B0B8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线型低密度聚乙烯</w:t>
            </w:r>
          </w:p>
        </w:tc>
        <w:tc>
          <w:tcPr>
            <w:tcW w:w="2175" w:type="dxa"/>
            <w:vAlign w:val="center"/>
          </w:tcPr>
          <w:p w14:paraId="2065AB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777CEA6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0E39793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r>
      <w:tr w:rsidR="00F13EF7" w:rsidRPr="00D51C6A" w14:paraId="068B2060" w14:textId="77777777" w:rsidTr="00752AC1">
        <w:trPr>
          <w:trHeight w:val="1258"/>
          <w:tblCellSpacing w:w="0" w:type="dxa"/>
        </w:trPr>
        <w:tc>
          <w:tcPr>
            <w:tcW w:w="2098" w:type="dxa"/>
            <w:vMerge/>
            <w:vAlign w:val="center"/>
          </w:tcPr>
          <w:p w14:paraId="4C39ECAC" w14:textId="77777777" w:rsidR="00F13EF7" w:rsidRPr="00D51C6A" w:rsidRDefault="00F13EF7" w:rsidP="00752AC1">
            <w:pPr>
              <w:rPr>
                <w:rFonts w:eastAsia="仿宋_GB2312"/>
                <w:color w:val="000000"/>
                <w:sz w:val="32"/>
                <w:szCs w:val="32"/>
              </w:rPr>
            </w:pPr>
          </w:p>
        </w:tc>
        <w:tc>
          <w:tcPr>
            <w:tcW w:w="2175" w:type="dxa"/>
            <w:vAlign w:val="center"/>
          </w:tcPr>
          <w:p w14:paraId="6539502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62C602C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61654EC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8157160" w14:textId="77777777" w:rsidTr="00752AC1">
        <w:trPr>
          <w:trHeight w:val="629"/>
          <w:tblCellSpacing w:w="0" w:type="dxa"/>
        </w:trPr>
        <w:tc>
          <w:tcPr>
            <w:tcW w:w="2098" w:type="dxa"/>
            <w:vMerge w:val="restart"/>
            <w:vAlign w:val="center"/>
          </w:tcPr>
          <w:p w14:paraId="2265C9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聚氯乙烯</w:t>
            </w:r>
          </w:p>
        </w:tc>
        <w:tc>
          <w:tcPr>
            <w:tcW w:w="2175" w:type="dxa"/>
            <w:vAlign w:val="center"/>
          </w:tcPr>
          <w:p w14:paraId="35F70B0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lastRenderedPageBreak/>
              <w:t>≤200,000</w:t>
            </w:r>
          </w:p>
        </w:tc>
        <w:tc>
          <w:tcPr>
            <w:tcW w:w="1841" w:type="dxa"/>
            <w:vAlign w:val="center"/>
          </w:tcPr>
          <w:p w14:paraId="616DE35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lastRenderedPageBreak/>
              <w:t>40,000</w:t>
            </w:r>
          </w:p>
        </w:tc>
        <w:tc>
          <w:tcPr>
            <w:tcW w:w="1642" w:type="dxa"/>
            <w:vAlign w:val="center"/>
          </w:tcPr>
          <w:p w14:paraId="4FB6EFA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24EFE147" w14:textId="77777777" w:rsidTr="00752AC1">
        <w:trPr>
          <w:trHeight w:val="629"/>
          <w:tblCellSpacing w:w="0" w:type="dxa"/>
        </w:trPr>
        <w:tc>
          <w:tcPr>
            <w:tcW w:w="2098" w:type="dxa"/>
            <w:vMerge/>
            <w:vAlign w:val="center"/>
          </w:tcPr>
          <w:p w14:paraId="29AB4C30" w14:textId="77777777" w:rsidR="00F13EF7" w:rsidRPr="00D51C6A" w:rsidRDefault="00F13EF7" w:rsidP="00752AC1">
            <w:pPr>
              <w:rPr>
                <w:rFonts w:eastAsia="仿宋_GB2312"/>
                <w:color w:val="000000"/>
                <w:sz w:val="32"/>
                <w:szCs w:val="32"/>
              </w:rPr>
            </w:pPr>
          </w:p>
        </w:tc>
        <w:tc>
          <w:tcPr>
            <w:tcW w:w="2175" w:type="dxa"/>
            <w:vAlign w:val="center"/>
          </w:tcPr>
          <w:p w14:paraId="2B969EE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4C5A2EF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3AC7FA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0CF856B9" w14:textId="77777777" w:rsidTr="00752AC1">
        <w:trPr>
          <w:trHeight w:val="1258"/>
          <w:tblCellSpacing w:w="0" w:type="dxa"/>
        </w:trPr>
        <w:tc>
          <w:tcPr>
            <w:tcW w:w="2098" w:type="dxa"/>
            <w:vMerge w:val="restart"/>
            <w:vAlign w:val="center"/>
          </w:tcPr>
          <w:p w14:paraId="21A2375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焦炭</w:t>
            </w:r>
          </w:p>
        </w:tc>
        <w:tc>
          <w:tcPr>
            <w:tcW w:w="2175" w:type="dxa"/>
            <w:vAlign w:val="center"/>
          </w:tcPr>
          <w:p w14:paraId="6731B03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≤50,000</w:t>
            </w:r>
          </w:p>
        </w:tc>
        <w:tc>
          <w:tcPr>
            <w:tcW w:w="1841" w:type="dxa"/>
            <w:vAlign w:val="center"/>
          </w:tcPr>
          <w:p w14:paraId="7841FCE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1642" w:type="dxa"/>
            <w:vAlign w:val="center"/>
          </w:tcPr>
          <w:p w14:paraId="168F27D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53D400DC" w14:textId="77777777" w:rsidTr="00752AC1">
        <w:trPr>
          <w:trHeight w:val="1258"/>
          <w:tblCellSpacing w:w="0" w:type="dxa"/>
        </w:trPr>
        <w:tc>
          <w:tcPr>
            <w:tcW w:w="2098" w:type="dxa"/>
            <w:vMerge/>
            <w:vAlign w:val="center"/>
          </w:tcPr>
          <w:p w14:paraId="2E23B519" w14:textId="77777777" w:rsidR="00F13EF7" w:rsidRPr="00D51C6A" w:rsidRDefault="00F13EF7" w:rsidP="00752AC1">
            <w:pPr>
              <w:rPr>
                <w:rFonts w:eastAsia="仿宋_GB2312"/>
                <w:color w:val="000000"/>
                <w:sz w:val="32"/>
                <w:szCs w:val="32"/>
              </w:rPr>
            </w:pPr>
          </w:p>
        </w:tc>
        <w:tc>
          <w:tcPr>
            <w:tcW w:w="2175" w:type="dxa"/>
            <w:vAlign w:val="center"/>
          </w:tcPr>
          <w:p w14:paraId="2AE75B4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50,000</w:t>
            </w:r>
          </w:p>
        </w:tc>
        <w:tc>
          <w:tcPr>
            <w:tcW w:w="1841" w:type="dxa"/>
            <w:vAlign w:val="center"/>
          </w:tcPr>
          <w:p w14:paraId="08A5421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46E4D53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2AFD9A35" w14:textId="77777777" w:rsidTr="00752AC1">
        <w:trPr>
          <w:trHeight w:val="1258"/>
          <w:tblCellSpacing w:w="0" w:type="dxa"/>
        </w:trPr>
        <w:tc>
          <w:tcPr>
            <w:tcW w:w="2098" w:type="dxa"/>
            <w:vMerge w:val="restart"/>
            <w:vAlign w:val="center"/>
          </w:tcPr>
          <w:p w14:paraId="0731D10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焦煤</w:t>
            </w:r>
          </w:p>
        </w:tc>
        <w:tc>
          <w:tcPr>
            <w:tcW w:w="2175" w:type="dxa"/>
            <w:vAlign w:val="center"/>
          </w:tcPr>
          <w:p w14:paraId="1D2C38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≤80,000</w:t>
            </w:r>
          </w:p>
        </w:tc>
        <w:tc>
          <w:tcPr>
            <w:tcW w:w="1841" w:type="dxa"/>
            <w:vAlign w:val="center"/>
          </w:tcPr>
          <w:p w14:paraId="448C131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w:t>
            </w:r>
          </w:p>
        </w:tc>
        <w:tc>
          <w:tcPr>
            <w:tcW w:w="1642" w:type="dxa"/>
            <w:vAlign w:val="center"/>
          </w:tcPr>
          <w:p w14:paraId="4CC48A6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w:t>
            </w:r>
          </w:p>
        </w:tc>
      </w:tr>
      <w:tr w:rsidR="00F13EF7" w:rsidRPr="00D51C6A" w14:paraId="20088C37" w14:textId="77777777" w:rsidTr="00752AC1">
        <w:trPr>
          <w:trHeight w:val="1258"/>
          <w:tblCellSpacing w:w="0" w:type="dxa"/>
        </w:trPr>
        <w:tc>
          <w:tcPr>
            <w:tcW w:w="2098" w:type="dxa"/>
            <w:vMerge/>
            <w:vAlign w:val="center"/>
          </w:tcPr>
          <w:p w14:paraId="5E11BD77" w14:textId="77777777" w:rsidR="00F13EF7" w:rsidRPr="00D51C6A" w:rsidRDefault="00F13EF7" w:rsidP="00752AC1">
            <w:pPr>
              <w:rPr>
                <w:rFonts w:eastAsia="仿宋_GB2312"/>
                <w:color w:val="000000"/>
                <w:sz w:val="32"/>
                <w:szCs w:val="32"/>
              </w:rPr>
            </w:pPr>
          </w:p>
        </w:tc>
        <w:tc>
          <w:tcPr>
            <w:tcW w:w="2175" w:type="dxa"/>
            <w:vAlign w:val="center"/>
          </w:tcPr>
          <w:p w14:paraId="699E72B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80,000</w:t>
            </w:r>
          </w:p>
        </w:tc>
        <w:tc>
          <w:tcPr>
            <w:tcW w:w="1841" w:type="dxa"/>
            <w:vAlign w:val="center"/>
          </w:tcPr>
          <w:p w14:paraId="7EA4CE2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13863E1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6E3C82D8" w14:textId="77777777" w:rsidTr="00752AC1">
        <w:trPr>
          <w:trHeight w:val="1258"/>
          <w:tblCellSpacing w:w="0" w:type="dxa"/>
        </w:trPr>
        <w:tc>
          <w:tcPr>
            <w:tcW w:w="2098" w:type="dxa"/>
            <w:vMerge w:val="restart"/>
            <w:vAlign w:val="center"/>
          </w:tcPr>
          <w:p w14:paraId="02F7D2A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铁矿石</w:t>
            </w:r>
          </w:p>
        </w:tc>
        <w:tc>
          <w:tcPr>
            <w:tcW w:w="2175" w:type="dxa"/>
            <w:vAlign w:val="center"/>
          </w:tcPr>
          <w:p w14:paraId="78582A4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6959C93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c>
          <w:tcPr>
            <w:tcW w:w="1642" w:type="dxa"/>
            <w:vAlign w:val="center"/>
          </w:tcPr>
          <w:p w14:paraId="34885BF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r>
      <w:tr w:rsidR="00F13EF7" w:rsidRPr="00D51C6A" w14:paraId="7E697B1F" w14:textId="77777777" w:rsidTr="00752AC1">
        <w:trPr>
          <w:trHeight w:val="1258"/>
          <w:tblCellSpacing w:w="0" w:type="dxa"/>
        </w:trPr>
        <w:tc>
          <w:tcPr>
            <w:tcW w:w="2098" w:type="dxa"/>
            <w:vMerge/>
            <w:vAlign w:val="center"/>
          </w:tcPr>
          <w:p w14:paraId="22748531" w14:textId="77777777" w:rsidR="00F13EF7" w:rsidRPr="00D51C6A" w:rsidRDefault="00F13EF7" w:rsidP="00752AC1">
            <w:pPr>
              <w:rPr>
                <w:rFonts w:eastAsia="仿宋_GB2312"/>
                <w:color w:val="000000"/>
                <w:sz w:val="32"/>
                <w:szCs w:val="32"/>
              </w:rPr>
            </w:pPr>
          </w:p>
        </w:tc>
        <w:tc>
          <w:tcPr>
            <w:tcW w:w="2175" w:type="dxa"/>
            <w:vAlign w:val="center"/>
          </w:tcPr>
          <w:p w14:paraId="6B2671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3CEABC3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14438C4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EAE0B5D" w14:textId="77777777" w:rsidTr="00752AC1">
        <w:trPr>
          <w:trHeight w:val="1258"/>
          <w:tblCellSpacing w:w="0" w:type="dxa"/>
        </w:trPr>
        <w:tc>
          <w:tcPr>
            <w:tcW w:w="2098" w:type="dxa"/>
            <w:vMerge w:val="restart"/>
            <w:vAlign w:val="center"/>
          </w:tcPr>
          <w:p w14:paraId="2FA553B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纤维板</w:t>
            </w:r>
          </w:p>
        </w:tc>
        <w:tc>
          <w:tcPr>
            <w:tcW w:w="2175" w:type="dxa"/>
            <w:vAlign w:val="center"/>
          </w:tcPr>
          <w:p w14:paraId="74896C45" w14:textId="01DE43E1"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Pr>
                <w:rFonts w:eastAsia="仿宋_GB2312"/>
                <w:color w:val="000000"/>
                <w:sz w:val="32"/>
                <w:szCs w:val="32"/>
              </w:rPr>
              <w:t>≤30</w:t>
            </w:r>
            <w:r w:rsidR="00586122">
              <w:rPr>
                <w:rFonts w:eastAsia="仿宋_GB2312"/>
                <w:color w:val="000000"/>
                <w:sz w:val="32"/>
                <w:szCs w:val="32"/>
              </w:rPr>
              <w:t>0</w:t>
            </w:r>
            <w:bookmarkStart w:id="0" w:name="_GoBack"/>
            <w:bookmarkEnd w:id="0"/>
            <w:r w:rsidRPr="00D51C6A">
              <w:rPr>
                <w:rFonts w:eastAsia="仿宋_GB2312"/>
                <w:color w:val="000000"/>
                <w:sz w:val="32"/>
                <w:szCs w:val="32"/>
              </w:rPr>
              <w:t>,000</w:t>
            </w:r>
          </w:p>
        </w:tc>
        <w:tc>
          <w:tcPr>
            <w:tcW w:w="1841" w:type="dxa"/>
            <w:vAlign w:val="center"/>
          </w:tcPr>
          <w:p w14:paraId="570B7645" w14:textId="77777777" w:rsidR="00F13EF7" w:rsidRPr="00D51C6A" w:rsidRDefault="00F13EF7" w:rsidP="00752AC1">
            <w:pPr>
              <w:rPr>
                <w:rFonts w:eastAsia="仿宋_GB2312"/>
                <w:color w:val="000000"/>
                <w:sz w:val="32"/>
                <w:szCs w:val="32"/>
              </w:rPr>
            </w:pPr>
            <w:r>
              <w:rPr>
                <w:rFonts w:eastAsia="仿宋_GB2312"/>
                <w:color w:val="000000"/>
                <w:sz w:val="32"/>
                <w:szCs w:val="32"/>
              </w:rPr>
              <w:t>30</w:t>
            </w:r>
            <w:r w:rsidRPr="00D51C6A">
              <w:rPr>
                <w:rFonts w:eastAsia="仿宋_GB2312"/>
                <w:color w:val="000000"/>
                <w:sz w:val="32"/>
                <w:szCs w:val="32"/>
              </w:rPr>
              <w:t>,000</w:t>
            </w:r>
          </w:p>
        </w:tc>
        <w:tc>
          <w:tcPr>
            <w:tcW w:w="1642" w:type="dxa"/>
            <w:vAlign w:val="center"/>
          </w:tcPr>
          <w:p w14:paraId="6DC521C9" w14:textId="77777777" w:rsidR="00F13EF7" w:rsidRPr="00D51C6A" w:rsidRDefault="00F13EF7" w:rsidP="00752AC1">
            <w:pPr>
              <w:rPr>
                <w:rFonts w:eastAsia="仿宋_GB2312"/>
                <w:color w:val="000000"/>
                <w:sz w:val="32"/>
                <w:szCs w:val="32"/>
              </w:rPr>
            </w:pPr>
            <w:r>
              <w:rPr>
                <w:rFonts w:eastAsia="仿宋_GB2312"/>
                <w:color w:val="000000"/>
                <w:sz w:val="32"/>
                <w:szCs w:val="32"/>
              </w:rPr>
              <w:t>30</w:t>
            </w:r>
            <w:r w:rsidRPr="00D51C6A">
              <w:rPr>
                <w:rFonts w:eastAsia="仿宋_GB2312"/>
                <w:color w:val="000000"/>
                <w:sz w:val="32"/>
                <w:szCs w:val="32"/>
              </w:rPr>
              <w:t>,000</w:t>
            </w:r>
          </w:p>
        </w:tc>
      </w:tr>
      <w:tr w:rsidR="00F13EF7" w:rsidRPr="00D51C6A" w14:paraId="5464D290" w14:textId="77777777" w:rsidTr="00752AC1">
        <w:trPr>
          <w:trHeight w:val="1258"/>
          <w:tblCellSpacing w:w="0" w:type="dxa"/>
        </w:trPr>
        <w:tc>
          <w:tcPr>
            <w:tcW w:w="2098" w:type="dxa"/>
            <w:vMerge/>
            <w:vAlign w:val="center"/>
          </w:tcPr>
          <w:p w14:paraId="35F6C5A1" w14:textId="77777777" w:rsidR="00F13EF7" w:rsidRPr="00D51C6A" w:rsidRDefault="00F13EF7" w:rsidP="00752AC1">
            <w:pPr>
              <w:rPr>
                <w:rFonts w:eastAsia="仿宋_GB2312"/>
                <w:color w:val="000000"/>
                <w:sz w:val="32"/>
                <w:szCs w:val="32"/>
              </w:rPr>
            </w:pPr>
          </w:p>
        </w:tc>
        <w:tc>
          <w:tcPr>
            <w:tcW w:w="2175" w:type="dxa"/>
            <w:vAlign w:val="center"/>
          </w:tcPr>
          <w:p w14:paraId="570878F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Pr>
                <w:rFonts w:eastAsia="仿宋_GB2312"/>
                <w:color w:val="000000"/>
                <w:sz w:val="32"/>
                <w:szCs w:val="32"/>
              </w:rPr>
              <w:t>30</w:t>
            </w:r>
            <w:r w:rsidRPr="00D51C6A">
              <w:rPr>
                <w:rFonts w:eastAsia="仿宋_GB2312"/>
                <w:color w:val="000000"/>
                <w:sz w:val="32"/>
                <w:szCs w:val="32"/>
              </w:rPr>
              <w:t>0,000</w:t>
            </w:r>
          </w:p>
        </w:tc>
        <w:tc>
          <w:tcPr>
            <w:tcW w:w="1841" w:type="dxa"/>
            <w:vAlign w:val="center"/>
          </w:tcPr>
          <w:p w14:paraId="7B15A6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08AF9E9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2B4557C9" w14:textId="77777777" w:rsidTr="00752AC1">
        <w:trPr>
          <w:trHeight w:val="1258"/>
          <w:tblCellSpacing w:w="0" w:type="dxa"/>
        </w:trPr>
        <w:tc>
          <w:tcPr>
            <w:tcW w:w="2098" w:type="dxa"/>
            <w:vMerge w:val="restart"/>
            <w:vAlign w:val="center"/>
          </w:tcPr>
          <w:p w14:paraId="3AEEBCD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胶合板</w:t>
            </w:r>
          </w:p>
        </w:tc>
        <w:tc>
          <w:tcPr>
            <w:tcW w:w="2175" w:type="dxa"/>
            <w:vAlign w:val="center"/>
          </w:tcPr>
          <w:p w14:paraId="73D099B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≤60,000</w:t>
            </w:r>
          </w:p>
        </w:tc>
        <w:tc>
          <w:tcPr>
            <w:tcW w:w="1841" w:type="dxa"/>
            <w:vAlign w:val="center"/>
          </w:tcPr>
          <w:p w14:paraId="24A4FD9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1642" w:type="dxa"/>
            <w:vAlign w:val="center"/>
          </w:tcPr>
          <w:p w14:paraId="68A2092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r>
      <w:tr w:rsidR="00F13EF7" w:rsidRPr="00D51C6A" w14:paraId="3B0C998A" w14:textId="77777777" w:rsidTr="00752AC1">
        <w:trPr>
          <w:trHeight w:val="1258"/>
          <w:tblCellSpacing w:w="0" w:type="dxa"/>
        </w:trPr>
        <w:tc>
          <w:tcPr>
            <w:tcW w:w="2098" w:type="dxa"/>
            <w:vMerge/>
            <w:vAlign w:val="center"/>
          </w:tcPr>
          <w:p w14:paraId="1E458C38" w14:textId="77777777" w:rsidR="00F13EF7" w:rsidRPr="00D51C6A" w:rsidRDefault="00F13EF7" w:rsidP="00752AC1">
            <w:pPr>
              <w:rPr>
                <w:rFonts w:eastAsia="仿宋_GB2312"/>
                <w:color w:val="000000"/>
                <w:sz w:val="32"/>
                <w:szCs w:val="32"/>
              </w:rPr>
            </w:pPr>
          </w:p>
        </w:tc>
        <w:tc>
          <w:tcPr>
            <w:tcW w:w="2175" w:type="dxa"/>
            <w:vAlign w:val="center"/>
          </w:tcPr>
          <w:p w14:paraId="6D20FDC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60,000</w:t>
            </w:r>
          </w:p>
        </w:tc>
        <w:tc>
          <w:tcPr>
            <w:tcW w:w="1841" w:type="dxa"/>
            <w:vAlign w:val="center"/>
          </w:tcPr>
          <w:p w14:paraId="25B4DFC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26F90A4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2D76EC3" w14:textId="77777777" w:rsidTr="00752AC1">
        <w:trPr>
          <w:trHeight w:val="1258"/>
          <w:tblCellSpacing w:w="0" w:type="dxa"/>
        </w:trPr>
        <w:tc>
          <w:tcPr>
            <w:tcW w:w="2098" w:type="dxa"/>
            <w:vMerge w:val="restart"/>
            <w:vAlign w:val="center"/>
          </w:tcPr>
          <w:p w14:paraId="6D6B291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聚丙烯</w:t>
            </w:r>
          </w:p>
        </w:tc>
        <w:tc>
          <w:tcPr>
            <w:tcW w:w="2175" w:type="dxa"/>
            <w:vAlign w:val="center"/>
          </w:tcPr>
          <w:p w14:paraId="4314F92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16A823A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4B6D155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5029B746" w14:textId="77777777" w:rsidTr="00752AC1">
        <w:trPr>
          <w:trHeight w:val="1273"/>
          <w:tblCellSpacing w:w="0" w:type="dxa"/>
        </w:trPr>
        <w:tc>
          <w:tcPr>
            <w:tcW w:w="2098" w:type="dxa"/>
            <w:vMerge/>
            <w:vAlign w:val="center"/>
          </w:tcPr>
          <w:p w14:paraId="0DC0FA5F" w14:textId="77777777" w:rsidR="00F13EF7" w:rsidRPr="00D51C6A" w:rsidRDefault="00F13EF7" w:rsidP="00752AC1">
            <w:pPr>
              <w:rPr>
                <w:rFonts w:eastAsia="仿宋_GB2312"/>
                <w:color w:val="000000"/>
                <w:sz w:val="32"/>
                <w:szCs w:val="32"/>
              </w:rPr>
            </w:pPr>
          </w:p>
        </w:tc>
        <w:tc>
          <w:tcPr>
            <w:tcW w:w="2175" w:type="dxa"/>
            <w:vAlign w:val="center"/>
          </w:tcPr>
          <w:p w14:paraId="3F51C59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3F15D26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4334804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E10269D" w14:textId="77777777" w:rsidTr="00752AC1">
        <w:trPr>
          <w:trHeight w:val="1258"/>
          <w:tblCellSpacing w:w="0" w:type="dxa"/>
        </w:trPr>
        <w:tc>
          <w:tcPr>
            <w:tcW w:w="2098" w:type="dxa"/>
            <w:vMerge w:val="restart"/>
            <w:vAlign w:val="center"/>
          </w:tcPr>
          <w:p w14:paraId="6B68DAF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玉米淀粉</w:t>
            </w:r>
          </w:p>
        </w:tc>
        <w:tc>
          <w:tcPr>
            <w:tcW w:w="2175" w:type="dxa"/>
            <w:vAlign w:val="center"/>
          </w:tcPr>
          <w:p w14:paraId="30A4E3B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≤150,000</w:t>
            </w:r>
          </w:p>
        </w:tc>
        <w:tc>
          <w:tcPr>
            <w:tcW w:w="1841" w:type="dxa"/>
            <w:vAlign w:val="center"/>
          </w:tcPr>
          <w:p w14:paraId="40C1918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c>
          <w:tcPr>
            <w:tcW w:w="1642" w:type="dxa"/>
            <w:vAlign w:val="center"/>
          </w:tcPr>
          <w:p w14:paraId="5CF856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r>
      <w:tr w:rsidR="00F13EF7" w:rsidRPr="00D51C6A" w14:paraId="4C94F95C" w14:textId="77777777" w:rsidTr="00752AC1">
        <w:trPr>
          <w:trHeight w:val="1258"/>
          <w:tblCellSpacing w:w="0" w:type="dxa"/>
        </w:trPr>
        <w:tc>
          <w:tcPr>
            <w:tcW w:w="2098" w:type="dxa"/>
            <w:vMerge/>
            <w:vAlign w:val="center"/>
          </w:tcPr>
          <w:p w14:paraId="0CA63C71" w14:textId="77777777" w:rsidR="00F13EF7" w:rsidRPr="00D51C6A" w:rsidRDefault="00F13EF7" w:rsidP="00752AC1">
            <w:pPr>
              <w:rPr>
                <w:rFonts w:eastAsia="仿宋_GB2312"/>
                <w:color w:val="000000"/>
                <w:sz w:val="32"/>
                <w:szCs w:val="32"/>
              </w:rPr>
            </w:pPr>
          </w:p>
        </w:tc>
        <w:tc>
          <w:tcPr>
            <w:tcW w:w="2175" w:type="dxa"/>
            <w:vAlign w:val="center"/>
          </w:tcPr>
          <w:p w14:paraId="606961A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150,000</w:t>
            </w:r>
          </w:p>
        </w:tc>
        <w:tc>
          <w:tcPr>
            <w:tcW w:w="1841" w:type="dxa"/>
            <w:vAlign w:val="center"/>
          </w:tcPr>
          <w:p w14:paraId="45D398F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619FDAA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6D1FCA19" w14:textId="77777777" w:rsidTr="00752AC1">
        <w:trPr>
          <w:trHeight w:val="1258"/>
          <w:tblCellSpacing w:w="0" w:type="dxa"/>
        </w:trPr>
        <w:tc>
          <w:tcPr>
            <w:tcW w:w="2098" w:type="dxa"/>
            <w:vMerge w:val="restart"/>
            <w:vAlign w:val="center"/>
          </w:tcPr>
          <w:p w14:paraId="0A2F287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粳米</w:t>
            </w:r>
          </w:p>
        </w:tc>
        <w:tc>
          <w:tcPr>
            <w:tcW w:w="2175" w:type="dxa"/>
            <w:vAlign w:val="center"/>
          </w:tcPr>
          <w:p w14:paraId="4E2F781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0E1E68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3FA9B8B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7BF9865F" w14:textId="77777777" w:rsidTr="00752AC1">
        <w:trPr>
          <w:trHeight w:val="1258"/>
          <w:tblCellSpacing w:w="0" w:type="dxa"/>
        </w:trPr>
        <w:tc>
          <w:tcPr>
            <w:tcW w:w="2098" w:type="dxa"/>
            <w:vMerge/>
            <w:vAlign w:val="center"/>
          </w:tcPr>
          <w:p w14:paraId="779912D2" w14:textId="77777777" w:rsidR="00F13EF7" w:rsidRPr="00D51C6A" w:rsidRDefault="00F13EF7" w:rsidP="00752AC1">
            <w:pPr>
              <w:rPr>
                <w:rFonts w:eastAsia="仿宋_GB2312"/>
                <w:color w:val="000000"/>
                <w:sz w:val="32"/>
                <w:szCs w:val="32"/>
              </w:rPr>
            </w:pPr>
          </w:p>
        </w:tc>
        <w:tc>
          <w:tcPr>
            <w:tcW w:w="2175" w:type="dxa"/>
            <w:vAlign w:val="center"/>
          </w:tcPr>
          <w:p w14:paraId="4673F84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6A097F1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095E268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189E3E16" w14:textId="77777777" w:rsidTr="00752AC1">
        <w:trPr>
          <w:trHeight w:val="1258"/>
          <w:tblCellSpacing w:w="0" w:type="dxa"/>
        </w:trPr>
        <w:tc>
          <w:tcPr>
            <w:tcW w:w="2098" w:type="dxa"/>
            <w:vMerge w:val="restart"/>
            <w:vAlign w:val="center"/>
          </w:tcPr>
          <w:p w14:paraId="2EA4EF96"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苯乙烯</w:t>
            </w:r>
          </w:p>
        </w:tc>
        <w:tc>
          <w:tcPr>
            <w:tcW w:w="2175" w:type="dxa"/>
            <w:vAlign w:val="center"/>
          </w:tcPr>
          <w:p w14:paraId="088817C0" w14:textId="77777777" w:rsidR="00F13EF7" w:rsidRPr="00835606" w:rsidRDefault="00F13EF7" w:rsidP="00752AC1">
            <w:pPr>
              <w:rPr>
                <w:rFonts w:eastAsia="仿宋_GB2312"/>
                <w:color w:val="000000"/>
                <w:sz w:val="32"/>
                <w:szCs w:val="32"/>
              </w:rPr>
            </w:pPr>
            <w:r w:rsidRPr="00835606">
              <w:rPr>
                <w:rFonts w:ascii="仿宋_GB2312" w:eastAsia="仿宋_GB2312" w:hint="eastAsia"/>
                <w:sz w:val="32"/>
              </w:rPr>
              <w:t>单边持仓≤</w:t>
            </w:r>
            <w:r w:rsidRPr="00835606">
              <w:rPr>
                <w:rFonts w:ascii="仿宋_GB2312" w:eastAsia="仿宋_GB2312"/>
                <w:sz w:val="32"/>
              </w:rPr>
              <w:t>120,000</w:t>
            </w:r>
          </w:p>
        </w:tc>
        <w:tc>
          <w:tcPr>
            <w:tcW w:w="1841" w:type="dxa"/>
            <w:vAlign w:val="center"/>
          </w:tcPr>
          <w:p w14:paraId="6803D473" w14:textId="77777777" w:rsidR="00F13EF7" w:rsidRPr="00835606" w:rsidRDefault="00F13EF7" w:rsidP="00752AC1">
            <w:pPr>
              <w:rPr>
                <w:rFonts w:eastAsia="仿宋_GB2312"/>
                <w:color w:val="000000"/>
                <w:sz w:val="32"/>
                <w:szCs w:val="32"/>
              </w:rPr>
            </w:pPr>
            <w:r w:rsidRPr="00835606">
              <w:rPr>
                <w:rFonts w:ascii="仿宋_GB2312" w:eastAsia="仿宋_GB2312"/>
                <w:sz w:val="32"/>
              </w:rPr>
              <w:t>12,000</w:t>
            </w:r>
          </w:p>
        </w:tc>
        <w:tc>
          <w:tcPr>
            <w:tcW w:w="1642" w:type="dxa"/>
            <w:vAlign w:val="center"/>
          </w:tcPr>
          <w:p w14:paraId="75FA265A" w14:textId="77777777" w:rsidR="00F13EF7" w:rsidRPr="00835606" w:rsidRDefault="00F13EF7" w:rsidP="00752AC1">
            <w:pPr>
              <w:rPr>
                <w:rFonts w:eastAsia="仿宋_GB2312"/>
                <w:color w:val="000000"/>
                <w:sz w:val="32"/>
                <w:szCs w:val="32"/>
              </w:rPr>
            </w:pPr>
            <w:r w:rsidRPr="00835606">
              <w:rPr>
                <w:rFonts w:ascii="仿宋_GB2312" w:eastAsia="仿宋_GB2312"/>
                <w:sz w:val="32"/>
              </w:rPr>
              <w:t>12,000</w:t>
            </w:r>
          </w:p>
        </w:tc>
      </w:tr>
      <w:tr w:rsidR="00F13EF7" w:rsidRPr="00D51C6A" w14:paraId="58ED82EF" w14:textId="77777777" w:rsidTr="00752AC1">
        <w:trPr>
          <w:trHeight w:val="1258"/>
          <w:tblCellSpacing w:w="0" w:type="dxa"/>
        </w:trPr>
        <w:tc>
          <w:tcPr>
            <w:tcW w:w="2098" w:type="dxa"/>
            <w:vMerge/>
            <w:vAlign w:val="center"/>
          </w:tcPr>
          <w:p w14:paraId="09C0A158" w14:textId="77777777" w:rsidR="00F13EF7" w:rsidRDefault="00F13EF7" w:rsidP="00752AC1">
            <w:pPr>
              <w:rPr>
                <w:rFonts w:eastAsia="仿宋_GB2312"/>
                <w:color w:val="000000"/>
                <w:sz w:val="32"/>
                <w:szCs w:val="32"/>
              </w:rPr>
            </w:pPr>
          </w:p>
        </w:tc>
        <w:tc>
          <w:tcPr>
            <w:tcW w:w="2175" w:type="dxa"/>
            <w:vAlign w:val="center"/>
          </w:tcPr>
          <w:p w14:paraId="3DFA6E28" w14:textId="77777777" w:rsidR="00F13EF7" w:rsidRPr="00835606" w:rsidRDefault="00F13EF7" w:rsidP="00752AC1">
            <w:pPr>
              <w:rPr>
                <w:rFonts w:ascii="仿宋_GB2312" w:eastAsia="仿宋_GB2312"/>
                <w:sz w:val="32"/>
              </w:rPr>
            </w:pPr>
            <w:r w:rsidRPr="00835606">
              <w:rPr>
                <w:rFonts w:ascii="仿宋_GB2312" w:eastAsia="仿宋_GB2312" w:hint="eastAsia"/>
                <w:sz w:val="32"/>
              </w:rPr>
              <w:t>单边持仓＞</w:t>
            </w:r>
            <w:r w:rsidRPr="00835606">
              <w:rPr>
                <w:rFonts w:ascii="仿宋_GB2312" w:eastAsia="仿宋_GB2312"/>
                <w:sz w:val="32"/>
              </w:rPr>
              <w:t>120,000</w:t>
            </w:r>
          </w:p>
        </w:tc>
        <w:tc>
          <w:tcPr>
            <w:tcW w:w="1841" w:type="dxa"/>
            <w:vAlign w:val="center"/>
          </w:tcPr>
          <w:p w14:paraId="4B60CF6B" w14:textId="77777777" w:rsidR="00F13EF7" w:rsidRPr="00835606" w:rsidRDefault="00F13EF7" w:rsidP="00752AC1">
            <w:pPr>
              <w:rPr>
                <w:rFonts w:ascii="仿宋_GB2312" w:eastAsia="仿宋_GB2312"/>
                <w:sz w:val="32"/>
              </w:rPr>
            </w:pPr>
            <w:r w:rsidRPr="00835606">
              <w:rPr>
                <w:rFonts w:ascii="仿宋_GB2312" w:eastAsia="仿宋_GB2312" w:hint="eastAsia"/>
                <w:sz w:val="32"/>
              </w:rPr>
              <w:t>单边持仓×</w:t>
            </w:r>
            <w:r w:rsidRPr="00835606">
              <w:rPr>
                <w:rFonts w:ascii="仿宋_GB2312" w:eastAsia="仿宋_GB2312"/>
                <w:sz w:val="32"/>
              </w:rPr>
              <w:t>10%</w:t>
            </w:r>
          </w:p>
        </w:tc>
        <w:tc>
          <w:tcPr>
            <w:tcW w:w="1642" w:type="dxa"/>
            <w:vAlign w:val="center"/>
          </w:tcPr>
          <w:p w14:paraId="5C02225F" w14:textId="77777777" w:rsidR="00F13EF7" w:rsidRPr="00835606" w:rsidRDefault="00F13EF7" w:rsidP="00752AC1">
            <w:pPr>
              <w:rPr>
                <w:rFonts w:ascii="仿宋_GB2312" w:eastAsia="仿宋_GB2312"/>
                <w:sz w:val="32"/>
              </w:rPr>
            </w:pPr>
            <w:r w:rsidRPr="00835606">
              <w:rPr>
                <w:rFonts w:ascii="仿宋_GB2312" w:eastAsia="仿宋_GB2312" w:hint="eastAsia"/>
                <w:sz w:val="32"/>
              </w:rPr>
              <w:t>单边持仓×</w:t>
            </w:r>
            <w:r w:rsidRPr="00835606">
              <w:rPr>
                <w:rFonts w:ascii="仿宋_GB2312" w:eastAsia="仿宋_GB2312"/>
                <w:sz w:val="32"/>
              </w:rPr>
              <w:t>10%</w:t>
            </w:r>
          </w:p>
        </w:tc>
      </w:tr>
    </w:tbl>
    <w:p w14:paraId="2AC4DE4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除鸡蛋、乙二醇品种外，各品种期货合约自交割月份前一个月第十五个交易日至交割月期间非期货公司会员和客户持仓限额见下表，交割月份个人客户持仓限额为</w:t>
      </w:r>
      <w:r w:rsidRPr="00D51C6A">
        <w:rPr>
          <w:rFonts w:eastAsia="仿宋_GB2312"/>
          <w:color w:val="000000"/>
          <w:sz w:val="32"/>
          <w:szCs w:val="32"/>
        </w:rPr>
        <w:t>0</w:t>
      </w:r>
      <w:r w:rsidRPr="00D51C6A">
        <w:rPr>
          <w:rFonts w:eastAsia="仿宋_GB2312"/>
          <w:color w:val="000000"/>
          <w:sz w:val="32"/>
          <w:szCs w:val="32"/>
        </w:rPr>
        <w:t>：（单位：</w:t>
      </w:r>
      <w:r w:rsidRPr="00D51C6A">
        <w:rPr>
          <w:rFonts w:eastAsia="仿宋_GB2312"/>
          <w:color w:val="000000"/>
          <w:sz w:val="32"/>
          <w:szCs w:val="32"/>
        </w:rPr>
        <w:lastRenderedPageBreak/>
        <w:t>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89"/>
        <w:gridCol w:w="3191"/>
        <w:gridCol w:w="1701"/>
        <w:gridCol w:w="956"/>
      </w:tblGrid>
      <w:tr w:rsidR="00F13EF7" w:rsidRPr="00D51C6A" w14:paraId="19284758" w14:textId="77777777" w:rsidTr="00752AC1">
        <w:trPr>
          <w:trHeight w:val="1243"/>
          <w:tblCellSpacing w:w="0" w:type="dxa"/>
        </w:trPr>
        <w:tc>
          <w:tcPr>
            <w:tcW w:w="1889" w:type="dxa"/>
            <w:noWrap/>
            <w:vAlign w:val="center"/>
          </w:tcPr>
          <w:p w14:paraId="5D90CA6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品种</w:t>
            </w:r>
          </w:p>
        </w:tc>
        <w:tc>
          <w:tcPr>
            <w:tcW w:w="3191" w:type="dxa"/>
            <w:vAlign w:val="center"/>
          </w:tcPr>
          <w:p w14:paraId="16B26FA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时间段</w:t>
            </w:r>
          </w:p>
        </w:tc>
        <w:tc>
          <w:tcPr>
            <w:tcW w:w="1701" w:type="dxa"/>
            <w:vAlign w:val="center"/>
          </w:tcPr>
          <w:p w14:paraId="5671E1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非期货公司会员</w:t>
            </w:r>
          </w:p>
        </w:tc>
        <w:tc>
          <w:tcPr>
            <w:tcW w:w="956" w:type="dxa"/>
            <w:vAlign w:val="center"/>
          </w:tcPr>
          <w:p w14:paraId="69EBE11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客户</w:t>
            </w:r>
          </w:p>
        </w:tc>
      </w:tr>
      <w:tr w:rsidR="00F13EF7" w:rsidRPr="00D51C6A" w14:paraId="1355E51E" w14:textId="77777777" w:rsidTr="00752AC1">
        <w:trPr>
          <w:trHeight w:val="629"/>
          <w:tblCellSpacing w:w="0" w:type="dxa"/>
        </w:trPr>
        <w:tc>
          <w:tcPr>
            <w:tcW w:w="1889" w:type="dxa"/>
            <w:vMerge w:val="restart"/>
            <w:noWrap/>
            <w:vAlign w:val="center"/>
          </w:tcPr>
          <w:p w14:paraId="3945AFB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1</w:t>
            </w:r>
            <w:r w:rsidRPr="00D51C6A">
              <w:rPr>
                <w:rFonts w:eastAsia="仿宋_GB2312"/>
                <w:color w:val="000000"/>
                <w:sz w:val="32"/>
                <w:szCs w:val="32"/>
              </w:rPr>
              <w:t>号</w:t>
            </w:r>
          </w:p>
        </w:tc>
        <w:tc>
          <w:tcPr>
            <w:tcW w:w="3191" w:type="dxa"/>
            <w:vAlign w:val="center"/>
          </w:tcPr>
          <w:p w14:paraId="4172FAE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30FB68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c>
          <w:tcPr>
            <w:tcW w:w="956" w:type="dxa"/>
            <w:vAlign w:val="center"/>
          </w:tcPr>
          <w:p w14:paraId="3CDA074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6522C911" w14:textId="77777777" w:rsidTr="00752AC1">
        <w:trPr>
          <w:trHeight w:val="629"/>
          <w:tblCellSpacing w:w="0" w:type="dxa"/>
        </w:trPr>
        <w:tc>
          <w:tcPr>
            <w:tcW w:w="1889" w:type="dxa"/>
            <w:vMerge/>
            <w:noWrap/>
            <w:vAlign w:val="center"/>
          </w:tcPr>
          <w:p w14:paraId="61437DD2" w14:textId="77777777" w:rsidR="00F13EF7" w:rsidRPr="00D51C6A" w:rsidRDefault="00F13EF7" w:rsidP="00752AC1">
            <w:pPr>
              <w:rPr>
                <w:rFonts w:eastAsia="仿宋_GB2312"/>
                <w:color w:val="000000"/>
                <w:sz w:val="32"/>
                <w:szCs w:val="32"/>
              </w:rPr>
            </w:pPr>
          </w:p>
        </w:tc>
        <w:tc>
          <w:tcPr>
            <w:tcW w:w="3191" w:type="dxa"/>
            <w:vAlign w:val="center"/>
          </w:tcPr>
          <w:p w14:paraId="753EDDE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7D376A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567BC4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47D7C6FA" w14:textId="77777777" w:rsidTr="00752AC1">
        <w:trPr>
          <w:trHeight w:val="1258"/>
          <w:tblCellSpacing w:w="0" w:type="dxa"/>
        </w:trPr>
        <w:tc>
          <w:tcPr>
            <w:tcW w:w="1889" w:type="dxa"/>
            <w:vMerge w:val="restart"/>
            <w:vAlign w:val="center"/>
          </w:tcPr>
          <w:p w14:paraId="02888AA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2</w:t>
            </w:r>
            <w:r w:rsidRPr="00D51C6A">
              <w:rPr>
                <w:rFonts w:eastAsia="仿宋_GB2312"/>
                <w:color w:val="000000"/>
                <w:sz w:val="32"/>
                <w:szCs w:val="32"/>
              </w:rPr>
              <w:t>号</w:t>
            </w:r>
          </w:p>
        </w:tc>
        <w:tc>
          <w:tcPr>
            <w:tcW w:w="3191" w:type="dxa"/>
            <w:vAlign w:val="center"/>
          </w:tcPr>
          <w:p w14:paraId="4B3B538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3E0114E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c>
          <w:tcPr>
            <w:tcW w:w="956" w:type="dxa"/>
            <w:vAlign w:val="center"/>
          </w:tcPr>
          <w:p w14:paraId="4A8ABF4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r>
      <w:tr w:rsidR="00F13EF7" w:rsidRPr="00D51C6A" w14:paraId="60A675AB" w14:textId="77777777" w:rsidTr="00752AC1">
        <w:trPr>
          <w:trHeight w:val="1258"/>
          <w:tblCellSpacing w:w="0" w:type="dxa"/>
        </w:trPr>
        <w:tc>
          <w:tcPr>
            <w:tcW w:w="1889" w:type="dxa"/>
            <w:vMerge/>
            <w:vAlign w:val="center"/>
          </w:tcPr>
          <w:p w14:paraId="3BF93EA9" w14:textId="77777777" w:rsidR="00F13EF7" w:rsidRPr="00D51C6A" w:rsidRDefault="00F13EF7" w:rsidP="00752AC1">
            <w:pPr>
              <w:rPr>
                <w:rFonts w:eastAsia="仿宋_GB2312"/>
                <w:color w:val="000000"/>
                <w:sz w:val="32"/>
                <w:szCs w:val="32"/>
              </w:rPr>
            </w:pPr>
          </w:p>
        </w:tc>
        <w:tc>
          <w:tcPr>
            <w:tcW w:w="3191" w:type="dxa"/>
            <w:vAlign w:val="center"/>
          </w:tcPr>
          <w:p w14:paraId="63E5AB1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CE0849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c>
          <w:tcPr>
            <w:tcW w:w="956" w:type="dxa"/>
            <w:vAlign w:val="center"/>
          </w:tcPr>
          <w:p w14:paraId="4C4A7CE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334FAF16" w14:textId="77777777" w:rsidTr="00752AC1">
        <w:trPr>
          <w:trHeight w:val="1258"/>
          <w:tblCellSpacing w:w="0" w:type="dxa"/>
        </w:trPr>
        <w:tc>
          <w:tcPr>
            <w:tcW w:w="1889" w:type="dxa"/>
            <w:vMerge w:val="restart"/>
            <w:vAlign w:val="center"/>
          </w:tcPr>
          <w:p w14:paraId="6CFD137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豆</w:t>
            </w:r>
            <w:proofErr w:type="gramStart"/>
            <w:r w:rsidRPr="00D51C6A">
              <w:rPr>
                <w:rFonts w:eastAsia="仿宋_GB2312"/>
                <w:color w:val="000000"/>
                <w:sz w:val="32"/>
                <w:szCs w:val="32"/>
              </w:rPr>
              <w:t>粕</w:t>
            </w:r>
            <w:proofErr w:type="gramEnd"/>
          </w:p>
        </w:tc>
        <w:tc>
          <w:tcPr>
            <w:tcW w:w="3191" w:type="dxa"/>
            <w:vAlign w:val="center"/>
          </w:tcPr>
          <w:p w14:paraId="43E076C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1538785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c>
          <w:tcPr>
            <w:tcW w:w="956" w:type="dxa"/>
            <w:vAlign w:val="center"/>
          </w:tcPr>
          <w:p w14:paraId="326DA49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7,500</w:t>
            </w:r>
          </w:p>
        </w:tc>
      </w:tr>
      <w:tr w:rsidR="00F13EF7" w:rsidRPr="00D51C6A" w14:paraId="7A8ACB2C" w14:textId="77777777" w:rsidTr="00752AC1">
        <w:trPr>
          <w:trHeight w:val="1258"/>
          <w:tblCellSpacing w:w="0" w:type="dxa"/>
        </w:trPr>
        <w:tc>
          <w:tcPr>
            <w:tcW w:w="1889" w:type="dxa"/>
            <w:vMerge/>
            <w:vAlign w:val="center"/>
          </w:tcPr>
          <w:p w14:paraId="12FCB95C" w14:textId="77777777" w:rsidR="00F13EF7" w:rsidRPr="00D51C6A" w:rsidRDefault="00F13EF7" w:rsidP="00752AC1">
            <w:pPr>
              <w:rPr>
                <w:rFonts w:eastAsia="仿宋_GB2312"/>
                <w:color w:val="000000"/>
                <w:sz w:val="32"/>
                <w:szCs w:val="32"/>
              </w:rPr>
            </w:pPr>
          </w:p>
        </w:tc>
        <w:tc>
          <w:tcPr>
            <w:tcW w:w="3191" w:type="dxa"/>
            <w:vAlign w:val="center"/>
          </w:tcPr>
          <w:p w14:paraId="045FB42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668ED25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1028712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7D78F448" w14:textId="77777777" w:rsidTr="00752AC1">
        <w:trPr>
          <w:trHeight w:val="1258"/>
          <w:tblCellSpacing w:w="0" w:type="dxa"/>
        </w:trPr>
        <w:tc>
          <w:tcPr>
            <w:tcW w:w="1889" w:type="dxa"/>
            <w:vMerge w:val="restart"/>
            <w:vAlign w:val="center"/>
          </w:tcPr>
          <w:p w14:paraId="39A1528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豆油</w:t>
            </w:r>
          </w:p>
        </w:tc>
        <w:tc>
          <w:tcPr>
            <w:tcW w:w="3191" w:type="dxa"/>
            <w:vAlign w:val="center"/>
          </w:tcPr>
          <w:p w14:paraId="7CE866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AA5AC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956" w:type="dxa"/>
            <w:vAlign w:val="center"/>
          </w:tcPr>
          <w:p w14:paraId="40CC6C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w:t>
            </w:r>
          </w:p>
        </w:tc>
      </w:tr>
      <w:tr w:rsidR="00F13EF7" w:rsidRPr="00D51C6A" w14:paraId="28DAAAD3" w14:textId="77777777" w:rsidTr="00752AC1">
        <w:trPr>
          <w:trHeight w:val="1258"/>
          <w:tblCellSpacing w:w="0" w:type="dxa"/>
        </w:trPr>
        <w:tc>
          <w:tcPr>
            <w:tcW w:w="1889" w:type="dxa"/>
            <w:vMerge/>
            <w:vAlign w:val="center"/>
          </w:tcPr>
          <w:p w14:paraId="24406F7C" w14:textId="77777777" w:rsidR="00F13EF7" w:rsidRPr="00D51C6A" w:rsidRDefault="00F13EF7" w:rsidP="00752AC1">
            <w:pPr>
              <w:rPr>
                <w:rFonts w:eastAsia="仿宋_GB2312"/>
                <w:color w:val="000000"/>
                <w:sz w:val="32"/>
                <w:szCs w:val="32"/>
              </w:rPr>
            </w:pPr>
          </w:p>
        </w:tc>
        <w:tc>
          <w:tcPr>
            <w:tcW w:w="3191" w:type="dxa"/>
            <w:vAlign w:val="center"/>
          </w:tcPr>
          <w:p w14:paraId="5701AF4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6AF13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3580CA3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r>
      <w:tr w:rsidR="00F13EF7" w:rsidRPr="00D51C6A" w14:paraId="3515A10C" w14:textId="77777777" w:rsidTr="00752AC1">
        <w:trPr>
          <w:trHeight w:val="1258"/>
          <w:tblCellSpacing w:w="0" w:type="dxa"/>
        </w:trPr>
        <w:tc>
          <w:tcPr>
            <w:tcW w:w="1889" w:type="dxa"/>
            <w:vMerge w:val="restart"/>
            <w:vAlign w:val="center"/>
          </w:tcPr>
          <w:p w14:paraId="67D82A6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棕榈油</w:t>
            </w:r>
          </w:p>
        </w:tc>
        <w:tc>
          <w:tcPr>
            <w:tcW w:w="3191" w:type="dxa"/>
            <w:vAlign w:val="center"/>
          </w:tcPr>
          <w:p w14:paraId="6ADEC14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EA8914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w:t>
            </w:r>
          </w:p>
        </w:tc>
        <w:tc>
          <w:tcPr>
            <w:tcW w:w="956" w:type="dxa"/>
            <w:vAlign w:val="center"/>
          </w:tcPr>
          <w:p w14:paraId="23DB749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564EBD33" w14:textId="77777777" w:rsidTr="00752AC1">
        <w:trPr>
          <w:trHeight w:val="1258"/>
          <w:tblCellSpacing w:w="0" w:type="dxa"/>
        </w:trPr>
        <w:tc>
          <w:tcPr>
            <w:tcW w:w="1889" w:type="dxa"/>
            <w:vMerge/>
            <w:vAlign w:val="center"/>
          </w:tcPr>
          <w:p w14:paraId="19D0266C" w14:textId="77777777" w:rsidR="00F13EF7" w:rsidRPr="00D51C6A" w:rsidRDefault="00F13EF7" w:rsidP="00752AC1">
            <w:pPr>
              <w:rPr>
                <w:rFonts w:eastAsia="仿宋_GB2312"/>
                <w:color w:val="000000"/>
                <w:sz w:val="32"/>
                <w:szCs w:val="32"/>
              </w:rPr>
            </w:pPr>
          </w:p>
        </w:tc>
        <w:tc>
          <w:tcPr>
            <w:tcW w:w="3191" w:type="dxa"/>
            <w:vAlign w:val="center"/>
          </w:tcPr>
          <w:p w14:paraId="615EC7A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C1DA03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c>
          <w:tcPr>
            <w:tcW w:w="956" w:type="dxa"/>
            <w:vAlign w:val="center"/>
          </w:tcPr>
          <w:p w14:paraId="67983C5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w:t>
            </w:r>
          </w:p>
        </w:tc>
      </w:tr>
      <w:tr w:rsidR="00F13EF7" w:rsidRPr="00D51C6A" w14:paraId="28022506" w14:textId="77777777" w:rsidTr="00752AC1">
        <w:trPr>
          <w:trHeight w:val="1258"/>
          <w:tblCellSpacing w:w="0" w:type="dxa"/>
        </w:trPr>
        <w:tc>
          <w:tcPr>
            <w:tcW w:w="1889" w:type="dxa"/>
            <w:vMerge w:val="restart"/>
            <w:noWrap/>
            <w:vAlign w:val="center"/>
          </w:tcPr>
          <w:p w14:paraId="25BD3C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w:t>
            </w:r>
          </w:p>
        </w:tc>
        <w:tc>
          <w:tcPr>
            <w:tcW w:w="3191" w:type="dxa"/>
            <w:vAlign w:val="center"/>
          </w:tcPr>
          <w:p w14:paraId="67BB2E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1301D94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30,000</w:t>
            </w:r>
          </w:p>
        </w:tc>
        <w:tc>
          <w:tcPr>
            <w:tcW w:w="956" w:type="dxa"/>
            <w:vAlign w:val="center"/>
          </w:tcPr>
          <w:p w14:paraId="48F988C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r>
      <w:tr w:rsidR="00F13EF7" w:rsidRPr="00D51C6A" w14:paraId="6F5AD3A0" w14:textId="77777777" w:rsidTr="00752AC1">
        <w:trPr>
          <w:trHeight w:val="1258"/>
          <w:tblCellSpacing w:w="0" w:type="dxa"/>
        </w:trPr>
        <w:tc>
          <w:tcPr>
            <w:tcW w:w="1889" w:type="dxa"/>
            <w:vMerge/>
            <w:noWrap/>
            <w:vAlign w:val="center"/>
          </w:tcPr>
          <w:p w14:paraId="75531704" w14:textId="77777777" w:rsidR="00F13EF7" w:rsidRPr="00D51C6A" w:rsidRDefault="00F13EF7" w:rsidP="00752AC1">
            <w:pPr>
              <w:rPr>
                <w:rFonts w:eastAsia="仿宋_GB2312"/>
                <w:color w:val="000000"/>
                <w:sz w:val="32"/>
                <w:szCs w:val="32"/>
              </w:rPr>
            </w:pPr>
          </w:p>
        </w:tc>
        <w:tc>
          <w:tcPr>
            <w:tcW w:w="3191" w:type="dxa"/>
            <w:vAlign w:val="center"/>
          </w:tcPr>
          <w:p w14:paraId="0FA6EB5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11A032D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c>
          <w:tcPr>
            <w:tcW w:w="956" w:type="dxa"/>
            <w:vAlign w:val="center"/>
          </w:tcPr>
          <w:p w14:paraId="49CA42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08F0C027" w14:textId="77777777" w:rsidTr="00752AC1">
        <w:trPr>
          <w:trHeight w:val="1258"/>
          <w:tblCellSpacing w:w="0" w:type="dxa"/>
        </w:trPr>
        <w:tc>
          <w:tcPr>
            <w:tcW w:w="1889" w:type="dxa"/>
            <w:vMerge w:val="restart"/>
            <w:vAlign w:val="center"/>
          </w:tcPr>
          <w:p w14:paraId="0A75A24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线型低密度聚乙烯</w:t>
            </w:r>
          </w:p>
        </w:tc>
        <w:tc>
          <w:tcPr>
            <w:tcW w:w="3191" w:type="dxa"/>
            <w:vAlign w:val="center"/>
          </w:tcPr>
          <w:p w14:paraId="5DE0438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F8A9C6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956" w:type="dxa"/>
            <w:vAlign w:val="center"/>
          </w:tcPr>
          <w:p w14:paraId="039F14E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w:t>
            </w:r>
          </w:p>
        </w:tc>
      </w:tr>
      <w:tr w:rsidR="00F13EF7" w:rsidRPr="00D51C6A" w14:paraId="5D839FDA" w14:textId="77777777" w:rsidTr="00752AC1">
        <w:trPr>
          <w:trHeight w:val="1258"/>
          <w:tblCellSpacing w:w="0" w:type="dxa"/>
        </w:trPr>
        <w:tc>
          <w:tcPr>
            <w:tcW w:w="1889" w:type="dxa"/>
            <w:vMerge/>
            <w:vAlign w:val="center"/>
          </w:tcPr>
          <w:p w14:paraId="1708456D" w14:textId="77777777" w:rsidR="00F13EF7" w:rsidRPr="00D51C6A" w:rsidRDefault="00F13EF7" w:rsidP="00752AC1">
            <w:pPr>
              <w:rPr>
                <w:rFonts w:eastAsia="仿宋_GB2312"/>
                <w:color w:val="000000"/>
                <w:sz w:val="32"/>
                <w:szCs w:val="32"/>
              </w:rPr>
            </w:pPr>
          </w:p>
        </w:tc>
        <w:tc>
          <w:tcPr>
            <w:tcW w:w="3191" w:type="dxa"/>
            <w:vAlign w:val="center"/>
          </w:tcPr>
          <w:p w14:paraId="335C355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3776D7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47B09CF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r>
      <w:tr w:rsidR="00F13EF7" w:rsidRPr="00D51C6A" w14:paraId="3B14F36E" w14:textId="77777777" w:rsidTr="00752AC1">
        <w:trPr>
          <w:trHeight w:val="1258"/>
          <w:tblCellSpacing w:w="0" w:type="dxa"/>
        </w:trPr>
        <w:tc>
          <w:tcPr>
            <w:tcW w:w="1889" w:type="dxa"/>
            <w:vMerge w:val="restart"/>
            <w:vAlign w:val="center"/>
          </w:tcPr>
          <w:p w14:paraId="1D98576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聚氯乙烯</w:t>
            </w:r>
          </w:p>
        </w:tc>
        <w:tc>
          <w:tcPr>
            <w:tcW w:w="3191" w:type="dxa"/>
            <w:vAlign w:val="center"/>
          </w:tcPr>
          <w:p w14:paraId="785D986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39AD8C8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c>
          <w:tcPr>
            <w:tcW w:w="956" w:type="dxa"/>
            <w:vAlign w:val="center"/>
          </w:tcPr>
          <w:p w14:paraId="51F4E57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5990F6B5" w14:textId="77777777" w:rsidTr="00752AC1">
        <w:trPr>
          <w:trHeight w:val="1258"/>
          <w:tblCellSpacing w:w="0" w:type="dxa"/>
        </w:trPr>
        <w:tc>
          <w:tcPr>
            <w:tcW w:w="1889" w:type="dxa"/>
            <w:vMerge/>
            <w:vAlign w:val="center"/>
          </w:tcPr>
          <w:p w14:paraId="2DCBA8F1" w14:textId="77777777" w:rsidR="00F13EF7" w:rsidRPr="00D51C6A" w:rsidRDefault="00F13EF7" w:rsidP="00752AC1">
            <w:pPr>
              <w:rPr>
                <w:rFonts w:eastAsia="仿宋_GB2312"/>
                <w:color w:val="000000"/>
                <w:sz w:val="32"/>
                <w:szCs w:val="32"/>
              </w:rPr>
            </w:pPr>
          </w:p>
        </w:tc>
        <w:tc>
          <w:tcPr>
            <w:tcW w:w="3191" w:type="dxa"/>
            <w:vAlign w:val="center"/>
          </w:tcPr>
          <w:p w14:paraId="791CE13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63F8051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3CE9348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175EC1F2" w14:textId="77777777" w:rsidTr="00752AC1">
        <w:trPr>
          <w:trHeight w:val="1273"/>
          <w:tblCellSpacing w:w="0" w:type="dxa"/>
        </w:trPr>
        <w:tc>
          <w:tcPr>
            <w:tcW w:w="1889" w:type="dxa"/>
            <w:vMerge w:val="restart"/>
            <w:vAlign w:val="center"/>
          </w:tcPr>
          <w:p w14:paraId="29556B8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焦炭</w:t>
            </w:r>
          </w:p>
        </w:tc>
        <w:tc>
          <w:tcPr>
            <w:tcW w:w="3191" w:type="dxa"/>
            <w:vAlign w:val="center"/>
          </w:tcPr>
          <w:p w14:paraId="4D0AD17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3313922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900</w:t>
            </w:r>
          </w:p>
        </w:tc>
        <w:tc>
          <w:tcPr>
            <w:tcW w:w="956" w:type="dxa"/>
            <w:vAlign w:val="center"/>
          </w:tcPr>
          <w:p w14:paraId="10DA078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900</w:t>
            </w:r>
          </w:p>
        </w:tc>
      </w:tr>
      <w:tr w:rsidR="00F13EF7" w:rsidRPr="00D51C6A" w14:paraId="18B6D05B" w14:textId="77777777" w:rsidTr="00752AC1">
        <w:trPr>
          <w:trHeight w:val="1273"/>
          <w:tblCellSpacing w:w="0" w:type="dxa"/>
        </w:trPr>
        <w:tc>
          <w:tcPr>
            <w:tcW w:w="1889" w:type="dxa"/>
            <w:vMerge/>
            <w:vAlign w:val="center"/>
          </w:tcPr>
          <w:p w14:paraId="294331D7" w14:textId="77777777" w:rsidR="00F13EF7" w:rsidRPr="00D51C6A" w:rsidRDefault="00F13EF7" w:rsidP="00752AC1">
            <w:pPr>
              <w:rPr>
                <w:rFonts w:eastAsia="仿宋_GB2312"/>
                <w:color w:val="000000"/>
                <w:sz w:val="32"/>
                <w:szCs w:val="32"/>
              </w:rPr>
            </w:pPr>
          </w:p>
        </w:tc>
        <w:tc>
          <w:tcPr>
            <w:tcW w:w="3191" w:type="dxa"/>
            <w:vAlign w:val="center"/>
          </w:tcPr>
          <w:p w14:paraId="11DBBF2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3641F26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w:t>
            </w:r>
          </w:p>
        </w:tc>
        <w:tc>
          <w:tcPr>
            <w:tcW w:w="956" w:type="dxa"/>
            <w:vAlign w:val="center"/>
          </w:tcPr>
          <w:p w14:paraId="1AFDE13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w:t>
            </w:r>
          </w:p>
        </w:tc>
      </w:tr>
      <w:tr w:rsidR="00F13EF7" w:rsidRPr="00D51C6A" w14:paraId="23B67037" w14:textId="77777777" w:rsidTr="00752AC1">
        <w:trPr>
          <w:trHeight w:val="1258"/>
          <w:tblCellSpacing w:w="0" w:type="dxa"/>
        </w:trPr>
        <w:tc>
          <w:tcPr>
            <w:tcW w:w="1889" w:type="dxa"/>
            <w:vMerge w:val="restart"/>
            <w:vAlign w:val="center"/>
          </w:tcPr>
          <w:p w14:paraId="3863FBD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焦煤</w:t>
            </w:r>
          </w:p>
        </w:tc>
        <w:tc>
          <w:tcPr>
            <w:tcW w:w="3191" w:type="dxa"/>
            <w:vAlign w:val="center"/>
          </w:tcPr>
          <w:p w14:paraId="6EC042B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60CC2C6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c>
          <w:tcPr>
            <w:tcW w:w="956" w:type="dxa"/>
            <w:vAlign w:val="center"/>
          </w:tcPr>
          <w:p w14:paraId="13CFBDF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1A55D4BE" w14:textId="77777777" w:rsidTr="00752AC1">
        <w:trPr>
          <w:trHeight w:val="1258"/>
          <w:tblCellSpacing w:w="0" w:type="dxa"/>
        </w:trPr>
        <w:tc>
          <w:tcPr>
            <w:tcW w:w="1889" w:type="dxa"/>
            <w:vMerge/>
            <w:vAlign w:val="center"/>
          </w:tcPr>
          <w:p w14:paraId="28FBA129" w14:textId="77777777" w:rsidR="00F13EF7" w:rsidRPr="00D51C6A" w:rsidRDefault="00F13EF7" w:rsidP="00752AC1">
            <w:pPr>
              <w:rPr>
                <w:rFonts w:eastAsia="仿宋_GB2312"/>
                <w:color w:val="000000"/>
                <w:sz w:val="32"/>
                <w:szCs w:val="32"/>
              </w:rPr>
            </w:pPr>
          </w:p>
        </w:tc>
        <w:tc>
          <w:tcPr>
            <w:tcW w:w="3191" w:type="dxa"/>
            <w:vAlign w:val="center"/>
          </w:tcPr>
          <w:p w14:paraId="586257B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4FCB0B2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w:t>
            </w:r>
          </w:p>
        </w:tc>
        <w:tc>
          <w:tcPr>
            <w:tcW w:w="956" w:type="dxa"/>
            <w:vAlign w:val="center"/>
          </w:tcPr>
          <w:p w14:paraId="3B788A1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w:t>
            </w:r>
          </w:p>
        </w:tc>
      </w:tr>
      <w:tr w:rsidR="00F13EF7" w:rsidRPr="00D51C6A" w14:paraId="1E3170E8" w14:textId="77777777" w:rsidTr="00752AC1">
        <w:trPr>
          <w:trHeight w:val="1258"/>
          <w:tblCellSpacing w:w="0" w:type="dxa"/>
        </w:trPr>
        <w:tc>
          <w:tcPr>
            <w:tcW w:w="1889" w:type="dxa"/>
            <w:vMerge w:val="restart"/>
            <w:vAlign w:val="center"/>
          </w:tcPr>
          <w:p w14:paraId="69CF4EB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铁矿石</w:t>
            </w:r>
          </w:p>
        </w:tc>
        <w:tc>
          <w:tcPr>
            <w:tcW w:w="3191" w:type="dxa"/>
            <w:vAlign w:val="center"/>
          </w:tcPr>
          <w:p w14:paraId="510ADC0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28A8D35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956" w:type="dxa"/>
            <w:vAlign w:val="center"/>
          </w:tcPr>
          <w:p w14:paraId="6FBF6FD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r>
      <w:tr w:rsidR="00F13EF7" w:rsidRPr="00D51C6A" w14:paraId="52D99581" w14:textId="77777777" w:rsidTr="00752AC1">
        <w:trPr>
          <w:trHeight w:val="1258"/>
          <w:tblCellSpacing w:w="0" w:type="dxa"/>
        </w:trPr>
        <w:tc>
          <w:tcPr>
            <w:tcW w:w="1889" w:type="dxa"/>
            <w:vMerge/>
            <w:vAlign w:val="center"/>
          </w:tcPr>
          <w:p w14:paraId="69C52EF3" w14:textId="77777777" w:rsidR="00F13EF7" w:rsidRPr="00D51C6A" w:rsidRDefault="00F13EF7" w:rsidP="00752AC1">
            <w:pPr>
              <w:rPr>
                <w:rFonts w:eastAsia="仿宋_GB2312"/>
                <w:color w:val="000000"/>
                <w:sz w:val="32"/>
                <w:szCs w:val="32"/>
              </w:rPr>
            </w:pPr>
          </w:p>
        </w:tc>
        <w:tc>
          <w:tcPr>
            <w:tcW w:w="3191" w:type="dxa"/>
            <w:vAlign w:val="center"/>
          </w:tcPr>
          <w:p w14:paraId="4CA702B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3E20B3B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079AA5D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r>
      <w:tr w:rsidR="00F13EF7" w:rsidRPr="00D51C6A" w14:paraId="1067CB44" w14:textId="77777777" w:rsidTr="00752AC1">
        <w:trPr>
          <w:trHeight w:val="1258"/>
          <w:tblCellSpacing w:w="0" w:type="dxa"/>
        </w:trPr>
        <w:tc>
          <w:tcPr>
            <w:tcW w:w="1889" w:type="dxa"/>
            <w:vMerge w:val="restart"/>
            <w:vAlign w:val="center"/>
          </w:tcPr>
          <w:p w14:paraId="004952A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纤维板</w:t>
            </w:r>
          </w:p>
        </w:tc>
        <w:tc>
          <w:tcPr>
            <w:tcW w:w="3191" w:type="dxa"/>
            <w:vAlign w:val="center"/>
          </w:tcPr>
          <w:p w14:paraId="17F3990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74226F0" w14:textId="77777777" w:rsidR="00F13EF7" w:rsidRPr="00D51C6A" w:rsidRDefault="00F13EF7" w:rsidP="00752AC1">
            <w:pPr>
              <w:rPr>
                <w:rFonts w:eastAsia="仿宋_GB2312"/>
                <w:color w:val="000000"/>
                <w:sz w:val="32"/>
                <w:szCs w:val="32"/>
              </w:rPr>
            </w:pPr>
            <w:r>
              <w:rPr>
                <w:rFonts w:eastAsia="仿宋_GB2312"/>
                <w:color w:val="000000"/>
                <w:sz w:val="32"/>
                <w:szCs w:val="32"/>
              </w:rPr>
              <w:t>800</w:t>
            </w:r>
          </w:p>
        </w:tc>
        <w:tc>
          <w:tcPr>
            <w:tcW w:w="956" w:type="dxa"/>
            <w:vAlign w:val="center"/>
          </w:tcPr>
          <w:p w14:paraId="3FDCB064" w14:textId="77777777" w:rsidR="00F13EF7" w:rsidRPr="00D51C6A" w:rsidRDefault="00F13EF7" w:rsidP="00752AC1">
            <w:pPr>
              <w:rPr>
                <w:rFonts w:eastAsia="仿宋_GB2312"/>
                <w:color w:val="000000"/>
                <w:sz w:val="32"/>
                <w:szCs w:val="32"/>
              </w:rPr>
            </w:pPr>
            <w:r>
              <w:rPr>
                <w:rFonts w:eastAsia="仿宋_GB2312"/>
                <w:color w:val="000000"/>
                <w:sz w:val="32"/>
                <w:szCs w:val="32"/>
              </w:rPr>
              <w:t>8</w:t>
            </w:r>
            <w:r w:rsidRPr="00D51C6A">
              <w:rPr>
                <w:rFonts w:eastAsia="仿宋_GB2312"/>
                <w:color w:val="000000"/>
                <w:sz w:val="32"/>
                <w:szCs w:val="32"/>
              </w:rPr>
              <w:t>00</w:t>
            </w:r>
          </w:p>
        </w:tc>
      </w:tr>
      <w:tr w:rsidR="00F13EF7" w:rsidRPr="00D51C6A" w14:paraId="08A02E58" w14:textId="77777777" w:rsidTr="00752AC1">
        <w:trPr>
          <w:trHeight w:val="1258"/>
          <w:tblCellSpacing w:w="0" w:type="dxa"/>
        </w:trPr>
        <w:tc>
          <w:tcPr>
            <w:tcW w:w="1889" w:type="dxa"/>
            <w:vMerge/>
            <w:vAlign w:val="center"/>
          </w:tcPr>
          <w:p w14:paraId="78EDA87F" w14:textId="77777777" w:rsidR="00F13EF7" w:rsidRPr="00D51C6A" w:rsidRDefault="00F13EF7" w:rsidP="00752AC1">
            <w:pPr>
              <w:rPr>
                <w:rFonts w:eastAsia="仿宋_GB2312"/>
                <w:color w:val="000000"/>
                <w:sz w:val="32"/>
                <w:szCs w:val="32"/>
              </w:rPr>
            </w:pPr>
          </w:p>
        </w:tc>
        <w:tc>
          <w:tcPr>
            <w:tcW w:w="3191" w:type="dxa"/>
            <w:vAlign w:val="center"/>
          </w:tcPr>
          <w:p w14:paraId="506604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4BC004D" w14:textId="77777777" w:rsidR="00F13EF7" w:rsidRPr="00D51C6A" w:rsidRDefault="00F13EF7" w:rsidP="00752AC1">
            <w:pPr>
              <w:rPr>
                <w:rFonts w:eastAsia="仿宋_GB2312"/>
                <w:color w:val="000000"/>
                <w:sz w:val="32"/>
                <w:szCs w:val="32"/>
              </w:rPr>
            </w:pPr>
            <w:r>
              <w:rPr>
                <w:rFonts w:eastAsia="仿宋_GB2312"/>
                <w:color w:val="000000"/>
                <w:sz w:val="32"/>
                <w:szCs w:val="32"/>
              </w:rPr>
              <w:t>2</w:t>
            </w:r>
            <w:r w:rsidRPr="00D51C6A">
              <w:rPr>
                <w:rFonts w:eastAsia="仿宋_GB2312"/>
                <w:color w:val="000000"/>
                <w:sz w:val="32"/>
                <w:szCs w:val="32"/>
              </w:rPr>
              <w:t>00</w:t>
            </w:r>
          </w:p>
        </w:tc>
        <w:tc>
          <w:tcPr>
            <w:tcW w:w="956" w:type="dxa"/>
            <w:vAlign w:val="center"/>
          </w:tcPr>
          <w:p w14:paraId="6B6479C3" w14:textId="77777777" w:rsidR="00F13EF7" w:rsidRPr="00D51C6A" w:rsidRDefault="00F13EF7" w:rsidP="00752AC1">
            <w:pPr>
              <w:rPr>
                <w:rFonts w:eastAsia="仿宋_GB2312"/>
                <w:color w:val="000000"/>
                <w:sz w:val="32"/>
                <w:szCs w:val="32"/>
              </w:rPr>
            </w:pPr>
            <w:r>
              <w:rPr>
                <w:rFonts w:eastAsia="仿宋_GB2312"/>
                <w:color w:val="000000"/>
                <w:sz w:val="32"/>
                <w:szCs w:val="32"/>
              </w:rPr>
              <w:t>2</w:t>
            </w:r>
            <w:r w:rsidRPr="00D51C6A">
              <w:rPr>
                <w:rFonts w:eastAsia="仿宋_GB2312"/>
                <w:color w:val="000000"/>
                <w:sz w:val="32"/>
                <w:szCs w:val="32"/>
              </w:rPr>
              <w:t>00</w:t>
            </w:r>
          </w:p>
        </w:tc>
      </w:tr>
      <w:tr w:rsidR="00F13EF7" w:rsidRPr="00D51C6A" w14:paraId="3A2A8C2F" w14:textId="77777777" w:rsidTr="00752AC1">
        <w:trPr>
          <w:trHeight w:val="1258"/>
          <w:tblCellSpacing w:w="0" w:type="dxa"/>
        </w:trPr>
        <w:tc>
          <w:tcPr>
            <w:tcW w:w="1889" w:type="dxa"/>
            <w:vMerge w:val="restart"/>
            <w:vAlign w:val="center"/>
          </w:tcPr>
          <w:p w14:paraId="041EAD3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胶合板</w:t>
            </w:r>
          </w:p>
        </w:tc>
        <w:tc>
          <w:tcPr>
            <w:tcW w:w="3191" w:type="dxa"/>
            <w:vAlign w:val="center"/>
          </w:tcPr>
          <w:p w14:paraId="27E859F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17CF648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w:t>
            </w:r>
          </w:p>
        </w:tc>
        <w:tc>
          <w:tcPr>
            <w:tcW w:w="956" w:type="dxa"/>
            <w:vAlign w:val="center"/>
          </w:tcPr>
          <w:p w14:paraId="0A50005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w:t>
            </w:r>
          </w:p>
        </w:tc>
      </w:tr>
      <w:tr w:rsidR="00F13EF7" w:rsidRPr="00D51C6A" w14:paraId="663BCED9" w14:textId="77777777" w:rsidTr="00752AC1">
        <w:trPr>
          <w:trHeight w:val="629"/>
          <w:tblCellSpacing w:w="0" w:type="dxa"/>
        </w:trPr>
        <w:tc>
          <w:tcPr>
            <w:tcW w:w="1889" w:type="dxa"/>
            <w:vMerge/>
            <w:vAlign w:val="center"/>
          </w:tcPr>
          <w:p w14:paraId="0D50BAD9" w14:textId="77777777" w:rsidR="00F13EF7" w:rsidRPr="00D51C6A" w:rsidRDefault="00F13EF7" w:rsidP="00752AC1">
            <w:pPr>
              <w:rPr>
                <w:rFonts w:eastAsia="仿宋_GB2312"/>
                <w:color w:val="000000"/>
                <w:sz w:val="32"/>
                <w:szCs w:val="32"/>
              </w:rPr>
            </w:pPr>
          </w:p>
        </w:tc>
        <w:tc>
          <w:tcPr>
            <w:tcW w:w="3191" w:type="dxa"/>
            <w:vAlign w:val="center"/>
          </w:tcPr>
          <w:p w14:paraId="6D1CCD2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4F7457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c>
          <w:tcPr>
            <w:tcW w:w="956" w:type="dxa"/>
            <w:vAlign w:val="center"/>
          </w:tcPr>
          <w:p w14:paraId="1D306FC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r>
      <w:tr w:rsidR="00F13EF7" w:rsidRPr="00D51C6A" w14:paraId="5C19C46D" w14:textId="77777777" w:rsidTr="00752AC1">
        <w:trPr>
          <w:trHeight w:val="1273"/>
          <w:tblCellSpacing w:w="0" w:type="dxa"/>
        </w:trPr>
        <w:tc>
          <w:tcPr>
            <w:tcW w:w="1889" w:type="dxa"/>
            <w:vMerge w:val="restart"/>
            <w:vAlign w:val="center"/>
          </w:tcPr>
          <w:p w14:paraId="1F7B3A3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聚丙烯</w:t>
            </w:r>
          </w:p>
        </w:tc>
        <w:tc>
          <w:tcPr>
            <w:tcW w:w="3191" w:type="dxa"/>
            <w:vAlign w:val="center"/>
          </w:tcPr>
          <w:p w14:paraId="5575329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0C227FD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228ED1F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227A47D8" w14:textId="77777777" w:rsidTr="00752AC1">
        <w:trPr>
          <w:trHeight w:val="1258"/>
          <w:tblCellSpacing w:w="0" w:type="dxa"/>
        </w:trPr>
        <w:tc>
          <w:tcPr>
            <w:tcW w:w="1889" w:type="dxa"/>
            <w:vMerge/>
            <w:vAlign w:val="center"/>
          </w:tcPr>
          <w:p w14:paraId="63915F50" w14:textId="77777777" w:rsidR="00F13EF7" w:rsidRPr="00D51C6A" w:rsidRDefault="00F13EF7" w:rsidP="00752AC1">
            <w:pPr>
              <w:rPr>
                <w:rFonts w:eastAsia="仿宋_GB2312"/>
                <w:color w:val="000000"/>
                <w:sz w:val="32"/>
                <w:szCs w:val="32"/>
              </w:rPr>
            </w:pPr>
          </w:p>
        </w:tc>
        <w:tc>
          <w:tcPr>
            <w:tcW w:w="3191" w:type="dxa"/>
            <w:vAlign w:val="center"/>
          </w:tcPr>
          <w:p w14:paraId="5B02787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8D48FD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c>
          <w:tcPr>
            <w:tcW w:w="956" w:type="dxa"/>
            <w:vAlign w:val="center"/>
          </w:tcPr>
          <w:p w14:paraId="5D9E71A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34C05416" w14:textId="77777777" w:rsidTr="00752AC1">
        <w:trPr>
          <w:trHeight w:val="1258"/>
          <w:tblCellSpacing w:w="0" w:type="dxa"/>
        </w:trPr>
        <w:tc>
          <w:tcPr>
            <w:tcW w:w="1889" w:type="dxa"/>
            <w:vMerge w:val="restart"/>
            <w:vAlign w:val="center"/>
          </w:tcPr>
          <w:p w14:paraId="4822E3D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玉米淀粉</w:t>
            </w:r>
          </w:p>
        </w:tc>
        <w:tc>
          <w:tcPr>
            <w:tcW w:w="3191" w:type="dxa"/>
            <w:vAlign w:val="center"/>
          </w:tcPr>
          <w:p w14:paraId="7D8B75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6A2EBED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c>
          <w:tcPr>
            <w:tcW w:w="956" w:type="dxa"/>
            <w:vAlign w:val="center"/>
          </w:tcPr>
          <w:p w14:paraId="1E5B6F0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r>
      <w:tr w:rsidR="00F13EF7" w:rsidRPr="00D51C6A" w14:paraId="0E4F029B" w14:textId="77777777" w:rsidTr="00752AC1">
        <w:trPr>
          <w:trHeight w:val="1258"/>
          <w:tblCellSpacing w:w="0" w:type="dxa"/>
        </w:trPr>
        <w:tc>
          <w:tcPr>
            <w:tcW w:w="1889" w:type="dxa"/>
            <w:vMerge/>
            <w:vAlign w:val="center"/>
          </w:tcPr>
          <w:p w14:paraId="5166AE53" w14:textId="77777777" w:rsidR="00F13EF7" w:rsidRPr="00D51C6A" w:rsidRDefault="00F13EF7" w:rsidP="00752AC1">
            <w:pPr>
              <w:rPr>
                <w:rFonts w:eastAsia="仿宋_GB2312"/>
                <w:color w:val="000000"/>
                <w:sz w:val="32"/>
                <w:szCs w:val="32"/>
              </w:rPr>
            </w:pPr>
          </w:p>
        </w:tc>
        <w:tc>
          <w:tcPr>
            <w:tcW w:w="3191" w:type="dxa"/>
            <w:vAlign w:val="center"/>
          </w:tcPr>
          <w:p w14:paraId="6B3A9A4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423DF78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c>
          <w:tcPr>
            <w:tcW w:w="956" w:type="dxa"/>
            <w:vAlign w:val="center"/>
          </w:tcPr>
          <w:p w14:paraId="5E4EC10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5D95665B" w14:textId="77777777" w:rsidTr="00752AC1">
        <w:trPr>
          <w:trHeight w:val="1258"/>
          <w:tblCellSpacing w:w="0" w:type="dxa"/>
        </w:trPr>
        <w:tc>
          <w:tcPr>
            <w:tcW w:w="1889" w:type="dxa"/>
            <w:vMerge w:val="restart"/>
            <w:vAlign w:val="center"/>
          </w:tcPr>
          <w:p w14:paraId="0823B37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lastRenderedPageBreak/>
              <w:t>粳米</w:t>
            </w:r>
          </w:p>
        </w:tc>
        <w:tc>
          <w:tcPr>
            <w:tcW w:w="3191" w:type="dxa"/>
            <w:vAlign w:val="center"/>
          </w:tcPr>
          <w:p w14:paraId="5CA9078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5B9235A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13206A2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r>
      <w:tr w:rsidR="00F13EF7" w:rsidRPr="00D51C6A" w14:paraId="7A7A33FB" w14:textId="77777777" w:rsidTr="00752AC1">
        <w:trPr>
          <w:trHeight w:val="1273"/>
          <w:tblCellSpacing w:w="0" w:type="dxa"/>
        </w:trPr>
        <w:tc>
          <w:tcPr>
            <w:tcW w:w="1889" w:type="dxa"/>
            <w:vMerge/>
            <w:vAlign w:val="center"/>
          </w:tcPr>
          <w:p w14:paraId="4784AB7E" w14:textId="77777777" w:rsidR="00F13EF7" w:rsidRPr="00D51C6A" w:rsidRDefault="00F13EF7" w:rsidP="00752AC1">
            <w:pPr>
              <w:rPr>
                <w:rFonts w:eastAsia="仿宋_GB2312"/>
                <w:color w:val="000000"/>
                <w:sz w:val="32"/>
                <w:szCs w:val="32"/>
              </w:rPr>
            </w:pPr>
          </w:p>
        </w:tc>
        <w:tc>
          <w:tcPr>
            <w:tcW w:w="3191" w:type="dxa"/>
            <w:vAlign w:val="center"/>
          </w:tcPr>
          <w:p w14:paraId="47B3D2F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58B157E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c>
          <w:tcPr>
            <w:tcW w:w="956" w:type="dxa"/>
            <w:vAlign w:val="center"/>
          </w:tcPr>
          <w:p w14:paraId="2685EA4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r>
      <w:tr w:rsidR="00F13EF7" w:rsidRPr="00D51C6A" w14:paraId="18797A11" w14:textId="77777777" w:rsidTr="00752AC1">
        <w:trPr>
          <w:trHeight w:val="1273"/>
          <w:tblCellSpacing w:w="0" w:type="dxa"/>
        </w:trPr>
        <w:tc>
          <w:tcPr>
            <w:tcW w:w="1889" w:type="dxa"/>
            <w:vMerge w:val="restart"/>
            <w:vAlign w:val="center"/>
          </w:tcPr>
          <w:p w14:paraId="3D29243D"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苯乙烯</w:t>
            </w:r>
          </w:p>
        </w:tc>
        <w:tc>
          <w:tcPr>
            <w:tcW w:w="3191" w:type="dxa"/>
            <w:vAlign w:val="center"/>
          </w:tcPr>
          <w:p w14:paraId="6E5FFBF8" w14:textId="77777777" w:rsidR="00F13EF7" w:rsidRPr="00835606" w:rsidRDefault="00F13EF7" w:rsidP="00752AC1">
            <w:pPr>
              <w:rPr>
                <w:rFonts w:eastAsia="仿宋_GB2312"/>
                <w:color w:val="000000"/>
                <w:sz w:val="32"/>
                <w:szCs w:val="32"/>
              </w:rPr>
            </w:pPr>
            <w:r w:rsidRPr="00835606">
              <w:rPr>
                <w:rFonts w:ascii="仿宋_GB2312" w:eastAsia="仿宋_GB2312" w:hint="eastAsia"/>
                <w:sz w:val="32"/>
              </w:rPr>
              <w:t>交割月前一个月第十五个交易日起</w:t>
            </w:r>
          </w:p>
        </w:tc>
        <w:tc>
          <w:tcPr>
            <w:tcW w:w="1701" w:type="dxa"/>
            <w:vAlign w:val="center"/>
          </w:tcPr>
          <w:p w14:paraId="735241B1"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000</w:t>
            </w:r>
          </w:p>
        </w:tc>
        <w:tc>
          <w:tcPr>
            <w:tcW w:w="956" w:type="dxa"/>
            <w:vAlign w:val="center"/>
          </w:tcPr>
          <w:p w14:paraId="35AF1305"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000</w:t>
            </w:r>
          </w:p>
        </w:tc>
      </w:tr>
      <w:tr w:rsidR="00F13EF7" w:rsidRPr="00D51C6A" w14:paraId="775C70C4" w14:textId="77777777" w:rsidTr="00752AC1">
        <w:trPr>
          <w:trHeight w:val="1273"/>
          <w:tblCellSpacing w:w="0" w:type="dxa"/>
        </w:trPr>
        <w:tc>
          <w:tcPr>
            <w:tcW w:w="1889" w:type="dxa"/>
            <w:vMerge/>
            <w:vAlign w:val="center"/>
          </w:tcPr>
          <w:p w14:paraId="074C8A16" w14:textId="77777777" w:rsidR="00F13EF7" w:rsidRPr="00D51C6A" w:rsidRDefault="00F13EF7" w:rsidP="00752AC1">
            <w:pPr>
              <w:rPr>
                <w:rFonts w:eastAsia="仿宋_GB2312"/>
                <w:color w:val="000000"/>
                <w:sz w:val="32"/>
                <w:szCs w:val="32"/>
              </w:rPr>
            </w:pPr>
          </w:p>
        </w:tc>
        <w:tc>
          <w:tcPr>
            <w:tcW w:w="3191" w:type="dxa"/>
            <w:vAlign w:val="center"/>
          </w:tcPr>
          <w:p w14:paraId="1E5A3267" w14:textId="77777777" w:rsidR="00F13EF7" w:rsidRPr="00835606" w:rsidRDefault="00F13EF7" w:rsidP="00752AC1">
            <w:pPr>
              <w:rPr>
                <w:rFonts w:eastAsia="仿宋_GB2312"/>
                <w:color w:val="000000"/>
                <w:sz w:val="32"/>
                <w:szCs w:val="32"/>
              </w:rPr>
            </w:pPr>
            <w:r w:rsidRPr="00835606">
              <w:rPr>
                <w:rFonts w:ascii="仿宋_GB2312" w:eastAsia="仿宋_GB2312" w:hint="eastAsia"/>
                <w:sz w:val="32"/>
              </w:rPr>
              <w:t>交割月份</w:t>
            </w:r>
          </w:p>
        </w:tc>
        <w:tc>
          <w:tcPr>
            <w:tcW w:w="1701" w:type="dxa"/>
            <w:vAlign w:val="center"/>
          </w:tcPr>
          <w:p w14:paraId="054C6D0B"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,000</w:t>
            </w:r>
          </w:p>
        </w:tc>
        <w:tc>
          <w:tcPr>
            <w:tcW w:w="956" w:type="dxa"/>
            <w:vAlign w:val="center"/>
          </w:tcPr>
          <w:p w14:paraId="5FFFE761"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,000</w:t>
            </w:r>
          </w:p>
        </w:tc>
      </w:tr>
    </w:tbl>
    <w:p w14:paraId="305F0B1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鸡蛋期货合约非期货公司会员和客户持仓限额见下表，交割月份个人客户持仓限额为</w:t>
      </w:r>
      <w:r w:rsidRPr="00D51C6A">
        <w:rPr>
          <w:rFonts w:eastAsia="仿宋_GB2312"/>
          <w:color w:val="000000"/>
          <w:sz w:val="32"/>
          <w:szCs w:val="32"/>
        </w:rPr>
        <w:t>0</w:t>
      </w:r>
      <w:r w:rsidRPr="00D51C6A">
        <w:rPr>
          <w:rFonts w:eastAsia="仿宋_GB2312"/>
          <w:color w:val="000000"/>
          <w:sz w:val="32"/>
          <w:szCs w:val="32"/>
        </w:rPr>
        <w:t>：（单位：手）</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4510"/>
        <w:gridCol w:w="2270"/>
        <w:gridCol w:w="670"/>
      </w:tblGrid>
      <w:tr w:rsidR="00F13EF7" w:rsidRPr="00D51C6A" w14:paraId="40FE3F68" w14:textId="77777777" w:rsidTr="00752AC1">
        <w:trPr>
          <w:trHeight w:val="1257"/>
          <w:tblCellSpacing w:w="0" w:type="dxa"/>
          <w:jc w:val="center"/>
        </w:trPr>
        <w:tc>
          <w:tcPr>
            <w:tcW w:w="0" w:type="auto"/>
            <w:vAlign w:val="center"/>
          </w:tcPr>
          <w:p w14:paraId="4938220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交易时间段</w:t>
            </w:r>
          </w:p>
        </w:tc>
        <w:tc>
          <w:tcPr>
            <w:tcW w:w="0" w:type="auto"/>
            <w:vAlign w:val="center"/>
          </w:tcPr>
          <w:p w14:paraId="097E4FB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非期货公司会员</w:t>
            </w:r>
          </w:p>
        </w:tc>
        <w:tc>
          <w:tcPr>
            <w:tcW w:w="0" w:type="auto"/>
            <w:vAlign w:val="center"/>
          </w:tcPr>
          <w:p w14:paraId="4DC606C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客户</w:t>
            </w:r>
          </w:p>
        </w:tc>
      </w:tr>
      <w:tr w:rsidR="00F13EF7" w:rsidRPr="00D51C6A" w14:paraId="47FED17B" w14:textId="77777777" w:rsidTr="00752AC1">
        <w:trPr>
          <w:trHeight w:val="1257"/>
          <w:tblCellSpacing w:w="0" w:type="dxa"/>
          <w:jc w:val="center"/>
        </w:trPr>
        <w:tc>
          <w:tcPr>
            <w:tcW w:w="0" w:type="auto"/>
            <w:vAlign w:val="center"/>
          </w:tcPr>
          <w:p w14:paraId="74D3471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合约上市起</w:t>
            </w:r>
          </w:p>
        </w:tc>
        <w:tc>
          <w:tcPr>
            <w:tcW w:w="0" w:type="auto"/>
            <w:vAlign w:val="center"/>
          </w:tcPr>
          <w:p w14:paraId="685AC35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w:t>
            </w:r>
          </w:p>
        </w:tc>
        <w:tc>
          <w:tcPr>
            <w:tcW w:w="0" w:type="auto"/>
            <w:vAlign w:val="center"/>
          </w:tcPr>
          <w:p w14:paraId="7D051B8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w:t>
            </w:r>
          </w:p>
        </w:tc>
      </w:tr>
      <w:tr w:rsidR="00F13EF7" w:rsidRPr="00D51C6A" w14:paraId="4B6F9FB2" w14:textId="77777777" w:rsidTr="00752AC1">
        <w:trPr>
          <w:trHeight w:val="1272"/>
          <w:tblCellSpacing w:w="0" w:type="dxa"/>
          <w:jc w:val="center"/>
        </w:trPr>
        <w:tc>
          <w:tcPr>
            <w:tcW w:w="0" w:type="auto"/>
            <w:vAlign w:val="center"/>
          </w:tcPr>
          <w:p w14:paraId="15B72CD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交割月前一个月第一个交易日起</w:t>
            </w:r>
          </w:p>
        </w:tc>
        <w:tc>
          <w:tcPr>
            <w:tcW w:w="0" w:type="auto"/>
            <w:vAlign w:val="center"/>
          </w:tcPr>
          <w:p w14:paraId="2F3FB65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w:t>
            </w:r>
          </w:p>
        </w:tc>
        <w:tc>
          <w:tcPr>
            <w:tcW w:w="0" w:type="auto"/>
            <w:vAlign w:val="center"/>
          </w:tcPr>
          <w:p w14:paraId="3A4385C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w:t>
            </w:r>
          </w:p>
        </w:tc>
      </w:tr>
      <w:tr w:rsidR="00F13EF7" w:rsidRPr="00D51C6A" w14:paraId="61619051" w14:textId="77777777" w:rsidTr="00752AC1">
        <w:trPr>
          <w:trHeight w:val="1257"/>
          <w:tblCellSpacing w:w="0" w:type="dxa"/>
          <w:jc w:val="center"/>
        </w:trPr>
        <w:tc>
          <w:tcPr>
            <w:tcW w:w="0" w:type="auto"/>
            <w:vAlign w:val="center"/>
          </w:tcPr>
          <w:p w14:paraId="144E544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交割月前一个月第十个交易日起</w:t>
            </w:r>
          </w:p>
        </w:tc>
        <w:tc>
          <w:tcPr>
            <w:tcW w:w="0" w:type="auto"/>
            <w:vAlign w:val="center"/>
          </w:tcPr>
          <w:p w14:paraId="1C0498E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w:t>
            </w:r>
          </w:p>
        </w:tc>
        <w:tc>
          <w:tcPr>
            <w:tcW w:w="0" w:type="auto"/>
            <w:vAlign w:val="center"/>
          </w:tcPr>
          <w:p w14:paraId="776B106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w:t>
            </w:r>
          </w:p>
        </w:tc>
      </w:tr>
      <w:tr w:rsidR="00F13EF7" w:rsidRPr="00D51C6A" w14:paraId="4F6208A8" w14:textId="77777777" w:rsidTr="00752AC1">
        <w:trPr>
          <w:trHeight w:val="619"/>
          <w:tblCellSpacing w:w="0" w:type="dxa"/>
          <w:jc w:val="center"/>
        </w:trPr>
        <w:tc>
          <w:tcPr>
            <w:tcW w:w="0" w:type="auto"/>
            <w:vAlign w:val="center"/>
          </w:tcPr>
          <w:p w14:paraId="76EA5D2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0" w:type="auto"/>
            <w:vAlign w:val="center"/>
          </w:tcPr>
          <w:p w14:paraId="18045FF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c>
          <w:tcPr>
            <w:tcW w:w="0" w:type="auto"/>
            <w:vAlign w:val="center"/>
          </w:tcPr>
          <w:p w14:paraId="7AE21C3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r>
    </w:tbl>
    <w:p w14:paraId="7EF2ED5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乙二醇期货合约非期货公司会员和客户持仓限额按如下规定，交割月份个人客户持仓限额为</w:t>
      </w:r>
      <w:r w:rsidRPr="00D51C6A">
        <w:rPr>
          <w:rFonts w:eastAsia="仿宋_GB2312"/>
          <w:color w:val="000000"/>
          <w:sz w:val="32"/>
          <w:szCs w:val="32"/>
        </w:rPr>
        <w:t>0</w:t>
      </w:r>
      <w:r w:rsidRPr="00D51C6A">
        <w:rPr>
          <w:rFonts w:eastAsia="仿宋_GB2312"/>
          <w:color w:val="000000"/>
          <w:sz w:val="32"/>
          <w:szCs w:val="32"/>
        </w:rPr>
        <w:t>：（单位：手）</w:t>
      </w:r>
    </w:p>
    <w:p w14:paraId="4889354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（一）自合约上市至交割月份前一个月第十四个交易日期间，若该合约的单边持仓量小于或等于</w:t>
      </w:r>
      <w:r w:rsidRPr="00D51C6A">
        <w:rPr>
          <w:rFonts w:eastAsia="仿宋_GB2312"/>
          <w:color w:val="000000"/>
          <w:sz w:val="32"/>
          <w:szCs w:val="32"/>
        </w:rPr>
        <w:t>80,000</w:t>
      </w:r>
      <w:r w:rsidRPr="00D51C6A">
        <w:rPr>
          <w:rFonts w:eastAsia="仿宋_GB2312"/>
          <w:color w:val="000000"/>
          <w:sz w:val="32"/>
          <w:szCs w:val="32"/>
        </w:rPr>
        <w:t>手，则持仓限额为</w:t>
      </w:r>
      <w:r w:rsidRPr="00D51C6A">
        <w:rPr>
          <w:rFonts w:eastAsia="仿宋_GB2312"/>
          <w:color w:val="000000"/>
          <w:sz w:val="32"/>
          <w:szCs w:val="32"/>
        </w:rPr>
        <w:t>8,000</w:t>
      </w:r>
      <w:r w:rsidRPr="00D51C6A">
        <w:rPr>
          <w:rFonts w:eastAsia="仿宋_GB2312"/>
          <w:color w:val="000000"/>
          <w:sz w:val="32"/>
          <w:szCs w:val="32"/>
        </w:rPr>
        <w:t>手；若该合约的单边持仓量大于</w:t>
      </w:r>
      <w:r w:rsidRPr="00D51C6A">
        <w:rPr>
          <w:rFonts w:eastAsia="仿宋_GB2312"/>
          <w:color w:val="000000"/>
          <w:sz w:val="32"/>
          <w:szCs w:val="32"/>
        </w:rPr>
        <w:t>80,000</w:t>
      </w:r>
      <w:r w:rsidRPr="00D51C6A">
        <w:rPr>
          <w:rFonts w:eastAsia="仿宋_GB2312"/>
          <w:color w:val="000000"/>
          <w:sz w:val="32"/>
          <w:szCs w:val="32"/>
        </w:rPr>
        <w:t>手，则持仓限额为单边持仓量的</w:t>
      </w:r>
      <w:r w:rsidRPr="00D51C6A">
        <w:rPr>
          <w:rFonts w:eastAsia="仿宋_GB2312"/>
          <w:color w:val="000000"/>
          <w:sz w:val="32"/>
          <w:szCs w:val="32"/>
        </w:rPr>
        <w:t>10%</w:t>
      </w:r>
      <w:r w:rsidRPr="00D51C6A">
        <w:rPr>
          <w:rFonts w:eastAsia="仿宋_GB2312"/>
          <w:color w:val="000000"/>
          <w:sz w:val="32"/>
          <w:szCs w:val="32"/>
        </w:rPr>
        <w:t>。</w:t>
      </w:r>
    </w:p>
    <w:p w14:paraId="52CD774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自交割月份前一个月第一个交易日至该月第十四个交易日期间，若某日结算时该合约的单边持仓量大于</w:t>
      </w:r>
      <w:r w:rsidRPr="00D51C6A">
        <w:rPr>
          <w:rFonts w:eastAsia="仿宋_GB2312"/>
          <w:color w:val="000000"/>
          <w:sz w:val="32"/>
          <w:szCs w:val="32"/>
        </w:rPr>
        <w:t>120,000</w:t>
      </w:r>
      <w:r w:rsidRPr="00D51C6A">
        <w:rPr>
          <w:rFonts w:eastAsia="仿宋_GB2312"/>
          <w:color w:val="000000"/>
          <w:sz w:val="32"/>
          <w:szCs w:val="32"/>
        </w:rPr>
        <w:t>手，则自当日结算时起持仓限额为</w:t>
      </w:r>
      <w:r w:rsidRPr="00D51C6A">
        <w:rPr>
          <w:rFonts w:eastAsia="仿宋_GB2312"/>
          <w:color w:val="000000"/>
          <w:sz w:val="32"/>
          <w:szCs w:val="32"/>
        </w:rPr>
        <w:t>3,000</w:t>
      </w:r>
      <w:r w:rsidRPr="00D51C6A">
        <w:rPr>
          <w:rFonts w:eastAsia="仿宋_GB2312"/>
          <w:color w:val="000000"/>
          <w:sz w:val="32"/>
          <w:szCs w:val="32"/>
        </w:rPr>
        <w:t>手，并持续适用至该月第十四个交易日。</w:t>
      </w:r>
    </w:p>
    <w:p w14:paraId="2F6699A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（二）自交割月份前一个月第十五个交易日至该月最后一个交易日期间，持仓限额为</w:t>
      </w:r>
      <w:r w:rsidRPr="00D51C6A">
        <w:rPr>
          <w:rFonts w:eastAsia="仿宋_GB2312"/>
          <w:color w:val="000000"/>
          <w:sz w:val="32"/>
          <w:szCs w:val="32"/>
        </w:rPr>
        <w:t>3,000</w:t>
      </w:r>
      <w:r w:rsidRPr="00D51C6A">
        <w:rPr>
          <w:rFonts w:eastAsia="仿宋_GB2312"/>
          <w:color w:val="000000"/>
          <w:sz w:val="32"/>
          <w:szCs w:val="32"/>
        </w:rPr>
        <w:t>手；若某日结算时该合约的单边持仓量超过</w:t>
      </w:r>
      <w:r w:rsidRPr="00D51C6A">
        <w:rPr>
          <w:rFonts w:eastAsia="仿宋_GB2312"/>
          <w:color w:val="000000"/>
          <w:sz w:val="32"/>
          <w:szCs w:val="32"/>
        </w:rPr>
        <w:t>80,000</w:t>
      </w:r>
      <w:r w:rsidRPr="00D51C6A">
        <w:rPr>
          <w:rFonts w:eastAsia="仿宋_GB2312"/>
          <w:color w:val="000000"/>
          <w:sz w:val="32"/>
          <w:szCs w:val="32"/>
        </w:rPr>
        <w:t>手，则自当日结算时起持仓限额调整至</w:t>
      </w:r>
      <w:r w:rsidRPr="00D51C6A">
        <w:rPr>
          <w:rFonts w:eastAsia="仿宋_GB2312"/>
          <w:color w:val="000000"/>
          <w:sz w:val="32"/>
          <w:szCs w:val="32"/>
        </w:rPr>
        <w:t>1,000</w:t>
      </w:r>
      <w:r w:rsidRPr="00D51C6A">
        <w:rPr>
          <w:rFonts w:eastAsia="仿宋_GB2312"/>
          <w:color w:val="000000"/>
          <w:sz w:val="32"/>
          <w:szCs w:val="32"/>
        </w:rPr>
        <w:t>手，并持续适用至该月最后一个交易日。</w:t>
      </w:r>
    </w:p>
    <w:p w14:paraId="0E210C2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（三）交割月份持仓限额为</w:t>
      </w:r>
      <w:r w:rsidRPr="00D51C6A">
        <w:rPr>
          <w:rFonts w:eastAsia="仿宋_GB2312"/>
          <w:color w:val="000000"/>
          <w:sz w:val="32"/>
          <w:szCs w:val="32"/>
        </w:rPr>
        <w:t>1,000</w:t>
      </w:r>
      <w:r w:rsidRPr="00D51C6A">
        <w:rPr>
          <w:rFonts w:eastAsia="仿宋_GB2312"/>
          <w:color w:val="000000"/>
          <w:sz w:val="32"/>
          <w:szCs w:val="32"/>
        </w:rPr>
        <w:t>手。</w:t>
      </w:r>
    </w:p>
    <w:p w14:paraId="24DC43B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第三十条</w:t>
      </w:r>
      <w:r w:rsidRPr="00D51C6A">
        <w:rPr>
          <w:rFonts w:eastAsia="仿宋_GB2312"/>
          <w:color w:val="000000"/>
          <w:sz w:val="32"/>
          <w:szCs w:val="32"/>
        </w:rPr>
        <w:t xml:space="preserve">  </w:t>
      </w:r>
      <w:r w:rsidRPr="00D51C6A">
        <w:rPr>
          <w:rFonts w:eastAsia="仿宋_GB2312"/>
          <w:color w:val="000000"/>
          <w:sz w:val="32"/>
          <w:szCs w:val="32"/>
        </w:rPr>
        <w:t>非期货公司会员或客户的持仓数量不得超过交易所规定的持仓限额，超过持仓限额的，不得同方向开仓交易。对超过持仓限额的非期货公司会员或客户，交易所将于下一交易日按有关规定执行强行平仓。</w:t>
      </w:r>
    </w:p>
    <w:p w14:paraId="311F37A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一个客户在不同期货公司会员处开有多个交易编码，其持仓量合计超出限仓数额的，由交易所指定有关期货公司会员对该客户超额持仓执行强行平仓。</w:t>
      </w:r>
    </w:p>
    <w:p w14:paraId="15A79A0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对超过持仓限额的非期货公司会员或者客户，交易所还可以采取电话提示、要求报告情况、要求提交书面承诺、列</w:t>
      </w:r>
      <w:r w:rsidRPr="00D51C6A">
        <w:rPr>
          <w:rFonts w:eastAsia="仿宋_GB2312"/>
          <w:color w:val="000000"/>
          <w:sz w:val="32"/>
          <w:szCs w:val="32"/>
        </w:rPr>
        <w:lastRenderedPageBreak/>
        <w:t>入重点监管名单、限制开仓等措施。</w:t>
      </w:r>
    </w:p>
    <w:p w14:paraId="59CDB305"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第五章</w:t>
      </w:r>
      <w:r w:rsidRPr="00D51C6A">
        <w:rPr>
          <w:rFonts w:ascii="仿宋_GB2312" w:eastAsia="仿宋_GB2312"/>
          <w:b/>
          <w:sz w:val="32"/>
          <w:szCs w:val="32"/>
        </w:rPr>
        <w:t> </w:t>
      </w:r>
      <w:r w:rsidRPr="00D51C6A">
        <w:rPr>
          <w:rFonts w:ascii="仿宋_GB2312" w:eastAsia="仿宋_GB2312"/>
          <w:b/>
          <w:sz w:val="32"/>
          <w:szCs w:val="32"/>
        </w:rPr>
        <w:t xml:space="preserve"> 交易限额制度</w:t>
      </w:r>
    </w:p>
    <w:p w14:paraId="4359BFE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第三十一条</w:t>
      </w:r>
      <w:r w:rsidRPr="00D51C6A">
        <w:rPr>
          <w:rFonts w:eastAsia="仿宋_GB2312"/>
          <w:color w:val="000000"/>
          <w:sz w:val="32"/>
          <w:szCs w:val="32"/>
        </w:rPr>
        <w:t xml:space="preserve"> </w:t>
      </w:r>
      <w:r w:rsidRPr="00D51C6A">
        <w:rPr>
          <w:rFonts w:eastAsia="仿宋_GB2312"/>
          <w:color w:val="000000"/>
          <w:sz w:val="32"/>
          <w:szCs w:val="32"/>
        </w:rPr>
        <w:t>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14:paraId="6523C8C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套期保值交易和做市交易的开仓数量不受本条前款限制。</w:t>
      </w:r>
    </w:p>
    <w:p w14:paraId="28DA353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第三十二条</w:t>
      </w:r>
      <w:r w:rsidRPr="00D51C6A">
        <w:rPr>
          <w:rFonts w:eastAsia="仿宋_GB2312"/>
          <w:color w:val="000000"/>
          <w:sz w:val="32"/>
          <w:szCs w:val="32"/>
        </w:rPr>
        <w:t xml:space="preserve"> </w:t>
      </w:r>
      <w:r w:rsidRPr="00D51C6A">
        <w:rPr>
          <w:rFonts w:eastAsia="仿宋_GB2312"/>
          <w:color w:val="000000"/>
          <w:sz w:val="32"/>
          <w:szCs w:val="32"/>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14:paraId="5637436F"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第六章 大户报告制度</w:t>
      </w:r>
    </w:p>
    <w:p w14:paraId="2122E0B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第三十三条</w:t>
      </w:r>
      <w:r w:rsidRPr="00D51C6A">
        <w:rPr>
          <w:rFonts w:eastAsia="仿宋_GB2312"/>
          <w:color w:val="000000"/>
          <w:sz w:val="32"/>
          <w:szCs w:val="32"/>
        </w:rPr>
        <w:t xml:space="preserve"> </w:t>
      </w:r>
      <w:r w:rsidRPr="00D51C6A">
        <w:rPr>
          <w:rFonts w:eastAsia="仿宋_GB2312"/>
          <w:color w:val="000000"/>
          <w:sz w:val="32"/>
          <w:szCs w:val="32"/>
        </w:rPr>
        <w:t>交易所实行大户报告制度。当非期货公司会员或客户某品种持仓合约的投机头寸达到交易所对其规定的投机头寸持仓限量</w:t>
      </w:r>
      <w:r w:rsidRPr="00D51C6A">
        <w:rPr>
          <w:rFonts w:eastAsia="仿宋_GB2312"/>
          <w:color w:val="000000"/>
          <w:sz w:val="32"/>
          <w:szCs w:val="32"/>
        </w:rPr>
        <w:t>80%</w:t>
      </w:r>
      <w:r w:rsidRPr="00D51C6A">
        <w:rPr>
          <w:rFonts w:eastAsia="仿宋_GB2312"/>
          <w:color w:val="000000"/>
          <w:sz w:val="32"/>
          <w:szCs w:val="32"/>
        </w:rPr>
        <w:t>以上（含本数）时</w:t>
      </w:r>
      <w:r w:rsidRPr="00D51C6A">
        <w:rPr>
          <w:rFonts w:eastAsia="仿宋_GB2312"/>
          <w:color w:val="000000"/>
          <w:sz w:val="32"/>
          <w:szCs w:val="32"/>
        </w:rPr>
        <w:t xml:space="preserve">, </w:t>
      </w:r>
      <w:r w:rsidRPr="00D51C6A">
        <w:rPr>
          <w:rFonts w:eastAsia="仿宋_GB2312"/>
          <w:color w:val="000000"/>
          <w:sz w:val="32"/>
          <w:szCs w:val="32"/>
        </w:rPr>
        <w:t>非期货公司会员或客户应向交易所报告其资金情况、头寸情况，客户须通过期货公司会员报告；委托境外经纪机构从事期货交易的客户，应当委托其境外经纪机构报告，境外经纪机构再委托期货公司会员报告。</w:t>
      </w:r>
    </w:p>
    <w:p w14:paraId="52140C8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非期货公司会员、客户应当保证所提供的大户持仓报告和其他材料的真实性、准确性和完整性。</w:t>
      </w:r>
    </w:p>
    <w:p w14:paraId="6631390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交易所可根据市场风险状况，调整改变持仓报告水平。</w:t>
      </w:r>
    </w:p>
    <w:p w14:paraId="0966E02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第三十四条</w:t>
      </w:r>
      <w:r w:rsidRPr="00D51C6A">
        <w:rPr>
          <w:rFonts w:eastAsia="仿宋_GB2312"/>
          <w:color w:val="000000"/>
          <w:sz w:val="32"/>
          <w:szCs w:val="32"/>
        </w:rPr>
        <w:t xml:space="preserve"> </w:t>
      </w:r>
      <w:r w:rsidRPr="00D51C6A">
        <w:rPr>
          <w:rFonts w:eastAsia="仿宋_GB2312"/>
          <w:color w:val="000000"/>
          <w:sz w:val="32"/>
          <w:szCs w:val="32"/>
        </w:rPr>
        <w:t>非期货公司会员或客户的持仓达到交易所报告界限的，非期货公司会员或客户应主动于下一交易日</w:t>
      </w:r>
      <w:r w:rsidRPr="00D51C6A">
        <w:rPr>
          <w:rFonts w:eastAsia="仿宋_GB2312"/>
          <w:color w:val="000000"/>
          <w:sz w:val="32"/>
          <w:szCs w:val="32"/>
        </w:rPr>
        <w:t>15:00</w:t>
      </w:r>
      <w:r w:rsidRPr="00D51C6A">
        <w:rPr>
          <w:rFonts w:eastAsia="仿宋_GB2312"/>
          <w:color w:val="000000"/>
          <w:sz w:val="32"/>
          <w:szCs w:val="32"/>
        </w:rPr>
        <w:t>时前向交易所报告。如需再次报告或补充报告，交易所将通知有关会员。</w:t>
      </w:r>
    </w:p>
    <w:p w14:paraId="4AB0DFC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第三十五条</w:t>
      </w:r>
      <w:r w:rsidRPr="00D51C6A">
        <w:rPr>
          <w:rFonts w:eastAsia="仿宋_GB2312"/>
          <w:color w:val="000000"/>
          <w:sz w:val="32"/>
          <w:szCs w:val="32"/>
        </w:rPr>
        <w:t xml:space="preserve"> </w:t>
      </w:r>
      <w:r w:rsidRPr="00D51C6A">
        <w:rPr>
          <w:rFonts w:eastAsia="仿宋_GB2312"/>
          <w:color w:val="000000"/>
          <w:sz w:val="32"/>
          <w:szCs w:val="32"/>
        </w:rPr>
        <w:t>达到交易所报告界限的非期货公司会员应向交易所提供下列材料：</w:t>
      </w:r>
    </w:p>
    <w:p w14:paraId="7E8598F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（一）填写完整的《非期货公司会员大户报告表》（见附件</w:t>
      </w:r>
      <w:r w:rsidRPr="00D51C6A">
        <w:rPr>
          <w:rFonts w:eastAsia="仿宋_GB2312"/>
          <w:color w:val="000000"/>
          <w:sz w:val="32"/>
          <w:szCs w:val="32"/>
        </w:rPr>
        <w:t>2</w:t>
      </w:r>
      <w:r w:rsidRPr="00D51C6A">
        <w:rPr>
          <w:rFonts w:eastAsia="仿宋_GB2312"/>
          <w:color w:val="000000"/>
          <w:sz w:val="32"/>
          <w:szCs w:val="32"/>
        </w:rPr>
        <w:t>），内容包括会员名称、会员号、合约代码、现有持仓、持仓性质、持仓保证金、可动用资金、持仓意向、预报交割数量、申请交割数量；</w:t>
      </w:r>
    </w:p>
    <w:p w14:paraId="6649A34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（二）资金来源说明；</w:t>
      </w:r>
    </w:p>
    <w:p w14:paraId="320AB91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（三）交易所要求提供的其他材料。</w:t>
      </w:r>
    </w:p>
    <w:p w14:paraId="606B3AF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第三十六条</w:t>
      </w:r>
      <w:r w:rsidRPr="00D51C6A">
        <w:rPr>
          <w:rFonts w:eastAsia="仿宋_GB2312"/>
          <w:color w:val="000000"/>
          <w:sz w:val="32"/>
          <w:szCs w:val="32"/>
        </w:rPr>
        <w:t xml:space="preserve"> </w:t>
      </w:r>
      <w:r w:rsidRPr="00D51C6A">
        <w:rPr>
          <w:rFonts w:eastAsia="仿宋_GB2312"/>
          <w:color w:val="000000"/>
          <w:sz w:val="32"/>
          <w:szCs w:val="32"/>
        </w:rPr>
        <w:t>达到交易所报告界限的客户应提供下列材料：</w:t>
      </w:r>
    </w:p>
    <w:p w14:paraId="0CC2C60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（一）填写完整的《客户大户报告表》（见附件</w:t>
      </w:r>
      <w:r w:rsidRPr="00D51C6A">
        <w:rPr>
          <w:rFonts w:eastAsia="仿宋_GB2312"/>
          <w:color w:val="000000"/>
          <w:sz w:val="32"/>
          <w:szCs w:val="32"/>
        </w:rPr>
        <w:t>3</w:t>
      </w:r>
      <w:r w:rsidRPr="00D51C6A">
        <w:rPr>
          <w:rFonts w:eastAsia="仿宋_GB2312"/>
          <w:color w:val="000000"/>
          <w:sz w:val="32"/>
          <w:szCs w:val="32"/>
        </w:rPr>
        <w:t>），内容包括会员名称、会员号、客户名称和编码、合约代码、现有持仓、持仓性质、持仓保证金、可动用资金、持仓意向、预报交割数量、申请交割数量等；</w:t>
      </w:r>
    </w:p>
    <w:p w14:paraId="2733539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（二）资金来源说明；</w:t>
      </w:r>
    </w:p>
    <w:p w14:paraId="771A439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（三）开户材料及当日结算单据；</w:t>
      </w:r>
    </w:p>
    <w:p w14:paraId="459F9DC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（四）交易所要求提供的其他材料。</w:t>
      </w:r>
    </w:p>
    <w:p w14:paraId="1774651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第三十七条</w:t>
      </w:r>
      <w:r w:rsidRPr="00D51C6A">
        <w:rPr>
          <w:rFonts w:eastAsia="仿宋_GB2312"/>
          <w:color w:val="000000"/>
          <w:sz w:val="32"/>
          <w:szCs w:val="32"/>
        </w:rPr>
        <w:t xml:space="preserve"> </w:t>
      </w:r>
      <w:r w:rsidRPr="00D51C6A">
        <w:rPr>
          <w:rFonts w:eastAsia="仿宋_GB2312"/>
          <w:color w:val="000000"/>
          <w:sz w:val="32"/>
          <w:szCs w:val="32"/>
        </w:rPr>
        <w:t>期货公司会员、境外经纪机构应对达到交易所报告界限的客户所提供的有关材料进行初审，然后由期货公司会员转交交易所。期货公司会员、境外经纪机构应保证客户所提供的材料的真实性和准确性。</w:t>
      </w:r>
    </w:p>
    <w:p w14:paraId="6757B52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第三十八条</w:t>
      </w:r>
      <w:r w:rsidRPr="00D51C6A">
        <w:rPr>
          <w:rFonts w:eastAsia="仿宋_GB2312"/>
          <w:color w:val="000000"/>
          <w:sz w:val="32"/>
          <w:szCs w:val="32"/>
        </w:rPr>
        <w:t xml:space="preserve"> </w:t>
      </w:r>
      <w:r w:rsidRPr="00D51C6A">
        <w:rPr>
          <w:rFonts w:eastAsia="仿宋_GB2312"/>
          <w:color w:val="000000"/>
          <w:sz w:val="32"/>
          <w:szCs w:val="32"/>
        </w:rPr>
        <w:t>交易所将不定期地对会员、境外经纪机构或客户提供的材料进行核查。</w:t>
      </w:r>
    </w:p>
    <w:p w14:paraId="2ACD1B5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第三十九条</w:t>
      </w:r>
      <w:r w:rsidRPr="00D51C6A">
        <w:rPr>
          <w:rFonts w:eastAsia="仿宋_GB2312"/>
          <w:color w:val="000000"/>
          <w:sz w:val="32"/>
          <w:szCs w:val="32"/>
        </w:rPr>
        <w:t xml:space="preserve"> </w:t>
      </w:r>
      <w:r w:rsidRPr="00D51C6A">
        <w:rPr>
          <w:rFonts w:eastAsia="仿宋_GB2312"/>
          <w:color w:val="000000"/>
          <w:sz w:val="32"/>
          <w:szCs w:val="32"/>
        </w:rPr>
        <w:t>客户在不同期货公司会员处开有多个交易编码，各交易编码持有头寸合计达到报告界限，由交易所指定并通知有关期货公司会员，负责报送该客户应报告情况的有关材料。</w:t>
      </w:r>
    </w:p>
    <w:p w14:paraId="199EBCB6"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第七章 强行平仓制度</w:t>
      </w:r>
    </w:p>
    <w:p w14:paraId="79BA5F5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第四十条</w:t>
      </w:r>
      <w:r w:rsidRPr="00D51C6A">
        <w:rPr>
          <w:rFonts w:eastAsia="仿宋_GB2312"/>
          <w:color w:val="000000"/>
          <w:sz w:val="32"/>
          <w:szCs w:val="32"/>
        </w:rPr>
        <w:t xml:space="preserve"> </w:t>
      </w:r>
      <w:r w:rsidRPr="00D51C6A">
        <w:rPr>
          <w:rFonts w:eastAsia="仿宋_GB2312"/>
          <w:color w:val="000000"/>
          <w:sz w:val="32"/>
          <w:szCs w:val="32"/>
        </w:rPr>
        <w:t>为控制市场风险，交易所实行强行平仓制度。强行平仓是指当会员、客户违规时，交易所对有关持仓实行平仓的一种强制措施。</w:t>
      </w:r>
    </w:p>
    <w:p w14:paraId="7DE97D6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第四十一条</w:t>
      </w:r>
      <w:r w:rsidRPr="00D51C6A">
        <w:rPr>
          <w:rFonts w:eastAsia="仿宋_GB2312"/>
          <w:color w:val="000000"/>
          <w:sz w:val="32"/>
          <w:szCs w:val="32"/>
        </w:rPr>
        <w:t xml:space="preserve"> </w:t>
      </w:r>
      <w:r w:rsidRPr="00D51C6A">
        <w:rPr>
          <w:rFonts w:eastAsia="仿宋_GB2312"/>
          <w:color w:val="000000"/>
          <w:sz w:val="32"/>
          <w:szCs w:val="32"/>
        </w:rPr>
        <w:t>当会员、客户出现下列情形之一时，交易所有权对其持仓进行强行平仓：</w:t>
      </w:r>
    </w:p>
    <w:p w14:paraId="017CB3C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（一）会员结算准备金余额小于零，并未能在规定时限内补足的；</w:t>
      </w:r>
    </w:p>
    <w:p w14:paraId="2808DD2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（二）非期货公司会员和客户持仓量超出其限仓规定的；</w:t>
      </w:r>
    </w:p>
    <w:p w14:paraId="7718626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（三）因违规受到交易所强行平仓处罚的；</w:t>
      </w:r>
    </w:p>
    <w:p w14:paraId="7D83005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（四）根据交易所的紧急措施应予强行平仓的；</w:t>
      </w:r>
    </w:p>
    <w:p w14:paraId="25B0C46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（五）其他应予强行平仓的。</w:t>
      </w:r>
    </w:p>
    <w:p w14:paraId="096C53B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第四十二条</w:t>
      </w:r>
      <w:r w:rsidRPr="00D51C6A">
        <w:rPr>
          <w:rFonts w:eastAsia="仿宋_GB2312"/>
          <w:color w:val="000000"/>
          <w:sz w:val="32"/>
          <w:szCs w:val="32"/>
        </w:rPr>
        <w:t xml:space="preserve"> </w:t>
      </w:r>
      <w:r w:rsidRPr="00D51C6A">
        <w:rPr>
          <w:rFonts w:eastAsia="仿宋_GB2312"/>
          <w:color w:val="000000"/>
          <w:sz w:val="32"/>
          <w:szCs w:val="32"/>
        </w:rPr>
        <w:t>强行平仓的执行原则：</w:t>
      </w:r>
    </w:p>
    <w:p w14:paraId="1BD3EC8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强行平仓先由会员自己执行，除交易所特别规定外，对</w:t>
      </w:r>
      <w:proofErr w:type="gramStart"/>
      <w:r w:rsidRPr="00D51C6A">
        <w:rPr>
          <w:rFonts w:eastAsia="仿宋_GB2312"/>
          <w:color w:val="000000"/>
          <w:sz w:val="32"/>
          <w:szCs w:val="32"/>
        </w:rPr>
        <w:t>开设夜盘交易</w:t>
      </w:r>
      <w:proofErr w:type="gramEnd"/>
      <w:r w:rsidRPr="00D51C6A">
        <w:rPr>
          <w:rFonts w:eastAsia="仿宋_GB2312"/>
          <w:color w:val="000000"/>
          <w:sz w:val="32"/>
          <w:szCs w:val="32"/>
        </w:rPr>
        <w:t>的品种，其时限</w:t>
      </w:r>
      <w:proofErr w:type="gramStart"/>
      <w:r w:rsidRPr="00D51C6A">
        <w:rPr>
          <w:rFonts w:eastAsia="仿宋_GB2312"/>
          <w:color w:val="000000"/>
          <w:sz w:val="32"/>
          <w:szCs w:val="32"/>
        </w:rPr>
        <w:t>为夜盘交易</w:t>
      </w:r>
      <w:proofErr w:type="gramEnd"/>
      <w:r w:rsidRPr="00D51C6A">
        <w:rPr>
          <w:rFonts w:eastAsia="仿宋_GB2312"/>
          <w:color w:val="000000"/>
          <w:sz w:val="32"/>
          <w:szCs w:val="32"/>
        </w:rPr>
        <w:t>小节、第一节和第二节交易时间内；对未</w:t>
      </w:r>
      <w:proofErr w:type="gramStart"/>
      <w:r w:rsidRPr="00D51C6A">
        <w:rPr>
          <w:rFonts w:eastAsia="仿宋_GB2312"/>
          <w:color w:val="000000"/>
          <w:sz w:val="32"/>
          <w:szCs w:val="32"/>
        </w:rPr>
        <w:t>开设夜盘交易</w:t>
      </w:r>
      <w:proofErr w:type="gramEnd"/>
      <w:r w:rsidRPr="00D51C6A">
        <w:rPr>
          <w:rFonts w:eastAsia="仿宋_GB2312"/>
          <w:color w:val="000000"/>
          <w:sz w:val="32"/>
          <w:szCs w:val="32"/>
        </w:rPr>
        <w:t>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14:paraId="2C2572C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属第四十一条第（三）、（四）、（五）项的强行平仓，其强行平仓时间由交易所另行通知。</w:t>
      </w:r>
    </w:p>
    <w:p w14:paraId="33B0E23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（一）由会员单位执行的强行平</w:t>
      </w:r>
      <w:proofErr w:type="gramStart"/>
      <w:r w:rsidRPr="00D51C6A">
        <w:rPr>
          <w:rFonts w:eastAsia="仿宋_GB2312"/>
          <w:color w:val="000000"/>
          <w:sz w:val="32"/>
          <w:szCs w:val="32"/>
        </w:rPr>
        <w:t>仓头</w:t>
      </w:r>
      <w:proofErr w:type="gramEnd"/>
      <w:r w:rsidRPr="00D51C6A">
        <w:rPr>
          <w:rFonts w:eastAsia="仿宋_GB2312"/>
          <w:color w:val="000000"/>
          <w:sz w:val="32"/>
          <w:szCs w:val="32"/>
        </w:rPr>
        <w:t>寸的确定</w:t>
      </w:r>
    </w:p>
    <w:p w14:paraId="23E2E1A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属第四十一条第（一）、（二）项的强行平仓，</w:t>
      </w:r>
      <w:proofErr w:type="gramStart"/>
      <w:r w:rsidRPr="00D51C6A">
        <w:rPr>
          <w:rFonts w:eastAsia="仿宋_GB2312"/>
          <w:color w:val="000000"/>
          <w:sz w:val="32"/>
          <w:szCs w:val="32"/>
        </w:rPr>
        <w:t>其需强行</w:t>
      </w:r>
      <w:proofErr w:type="gramEnd"/>
      <w:r w:rsidRPr="00D51C6A">
        <w:rPr>
          <w:rFonts w:eastAsia="仿宋_GB2312"/>
          <w:color w:val="000000"/>
          <w:sz w:val="32"/>
          <w:szCs w:val="32"/>
        </w:rPr>
        <w:t>平</w:t>
      </w:r>
      <w:proofErr w:type="gramStart"/>
      <w:r w:rsidRPr="00D51C6A">
        <w:rPr>
          <w:rFonts w:eastAsia="仿宋_GB2312"/>
          <w:color w:val="000000"/>
          <w:sz w:val="32"/>
          <w:szCs w:val="32"/>
        </w:rPr>
        <w:t>仓头寸由会员</w:t>
      </w:r>
      <w:proofErr w:type="gramEnd"/>
      <w:r w:rsidRPr="00D51C6A">
        <w:rPr>
          <w:rFonts w:eastAsia="仿宋_GB2312"/>
          <w:color w:val="000000"/>
          <w:sz w:val="32"/>
          <w:szCs w:val="32"/>
        </w:rPr>
        <w:t>单位自行确定，只要强行平仓结果符合交易所规则即可。</w:t>
      </w:r>
    </w:p>
    <w:p w14:paraId="51F7615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属第四十一条第（三）、（四）、（五）项的强行平仓，</w:t>
      </w:r>
      <w:proofErr w:type="gramStart"/>
      <w:r w:rsidRPr="00D51C6A">
        <w:rPr>
          <w:rFonts w:eastAsia="仿宋_GB2312"/>
          <w:color w:val="000000"/>
          <w:sz w:val="32"/>
          <w:szCs w:val="32"/>
        </w:rPr>
        <w:t>其需强行</w:t>
      </w:r>
      <w:proofErr w:type="gramEnd"/>
      <w:r w:rsidRPr="00D51C6A">
        <w:rPr>
          <w:rFonts w:eastAsia="仿宋_GB2312"/>
          <w:color w:val="000000"/>
          <w:sz w:val="32"/>
          <w:szCs w:val="32"/>
        </w:rPr>
        <w:t>平</w:t>
      </w:r>
      <w:proofErr w:type="gramStart"/>
      <w:r w:rsidRPr="00D51C6A">
        <w:rPr>
          <w:rFonts w:eastAsia="仿宋_GB2312"/>
          <w:color w:val="000000"/>
          <w:sz w:val="32"/>
          <w:szCs w:val="32"/>
        </w:rPr>
        <w:t>仓头寸由交易所</w:t>
      </w:r>
      <w:proofErr w:type="gramEnd"/>
      <w:r w:rsidRPr="00D51C6A">
        <w:rPr>
          <w:rFonts w:eastAsia="仿宋_GB2312"/>
          <w:color w:val="000000"/>
          <w:sz w:val="32"/>
          <w:szCs w:val="32"/>
        </w:rPr>
        <w:t>确定。</w:t>
      </w:r>
    </w:p>
    <w:p w14:paraId="1A5E1DC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（二）由交易所执行的强行平</w:t>
      </w:r>
      <w:proofErr w:type="gramStart"/>
      <w:r w:rsidRPr="00D51C6A">
        <w:rPr>
          <w:rFonts w:eastAsia="仿宋_GB2312"/>
          <w:color w:val="000000"/>
          <w:sz w:val="32"/>
          <w:szCs w:val="32"/>
        </w:rPr>
        <w:t>仓头</w:t>
      </w:r>
      <w:proofErr w:type="gramEnd"/>
      <w:r w:rsidRPr="00D51C6A">
        <w:rPr>
          <w:rFonts w:eastAsia="仿宋_GB2312"/>
          <w:color w:val="000000"/>
          <w:sz w:val="32"/>
          <w:szCs w:val="32"/>
        </w:rPr>
        <w:t>寸的确定</w:t>
      </w:r>
    </w:p>
    <w:p w14:paraId="27A80BB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属第四十一条第（一）项的强行平仓，交易所以该会员在</w:t>
      </w:r>
      <w:r w:rsidRPr="00D51C6A">
        <w:rPr>
          <w:rFonts w:eastAsia="仿宋_GB2312"/>
          <w:color w:val="000000"/>
          <w:sz w:val="32"/>
          <w:szCs w:val="32"/>
        </w:rPr>
        <w:t>13</w:t>
      </w:r>
      <w:r w:rsidRPr="00D51C6A">
        <w:rPr>
          <w:rFonts w:eastAsia="仿宋_GB2312"/>
          <w:color w:val="000000"/>
          <w:sz w:val="32"/>
          <w:szCs w:val="32"/>
        </w:rPr>
        <w:t>：</w:t>
      </w:r>
      <w:r w:rsidRPr="00D51C6A">
        <w:rPr>
          <w:rFonts w:eastAsia="仿宋_GB2312"/>
          <w:color w:val="000000"/>
          <w:sz w:val="32"/>
          <w:szCs w:val="32"/>
        </w:rPr>
        <w:t>00</w:t>
      </w:r>
      <w:r w:rsidRPr="00D51C6A">
        <w:rPr>
          <w:rFonts w:eastAsia="仿宋_GB2312"/>
          <w:color w:val="000000"/>
          <w:sz w:val="32"/>
          <w:szCs w:val="32"/>
        </w:rPr>
        <w:t>的结算准备金余额为依据，计算会员应追加的交易保证金，该会员所有客户按交易保证金等比例平仓原则进</w:t>
      </w:r>
      <w:r w:rsidRPr="00D51C6A">
        <w:rPr>
          <w:rFonts w:eastAsia="仿宋_GB2312"/>
          <w:color w:val="000000"/>
          <w:sz w:val="32"/>
          <w:szCs w:val="32"/>
        </w:rPr>
        <w:lastRenderedPageBreak/>
        <w:t>行强行平仓：</w:t>
      </w:r>
    </w:p>
    <w:p w14:paraId="74D74C51"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平仓比例</w:t>
      </w:r>
      <w:r w:rsidRPr="00D51C6A">
        <w:rPr>
          <w:rFonts w:eastAsia="仿宋_GB2312"/>
          <w:color w:val="000000"/>
          <w:sz w:val="32"/>
          <w:szCs w:val="32"/>
        </w:rPr>
        <w:t xml:space="preserve"> = </w:t>
      </w:r>
      <w:r w:rsidRPr="00D51C6A">
        <w:rPr>
          <w:rFonts w:eastAsia="仿宋_GB2312"/>
          <w:color w:val="000000"/>
          <w:sz w:val="32"/>
          <w:szCs w:val="32"/>
        </w:rPr>
        <w:t>会员应追加交易保证金</w:t>
      </w:r>
      <w:r w:rsidRPr="00D51C6A">
        <w:rPr>
          <w:rFonts w:eastAsia="仿宋_GB2312"/>
          <w:color w:val="000000"/>
          <w:sz w:val="32"/>
          <w:szCs w:val="32"/>
        </w:rPr>
        <w:t xml:space="preserve"> /</w:t>
      </w:r>
      <w:r w:rsidRPr="00D51C6A">
        <w:rPr>
          <w:rFonts w:eastAsia="仿宋_GB2312"/>
          <w:color w:val="000000"/>
          <w:sz w:val="32"/>
          <w:szCs w:val="32"/>
        </w:rPr>
        <w:t>会员交易保证金总额</w:t>
      </w:r>
      <w:r w:rsidRPr="00D51C6A">
        <w:rPr>
          <w:rFonts w:eastAsia="仿宋_GB2312"/>
          <w:color w:val="000000"/>
          <w:sz w:val="32"/>
          <w:szCs w:val="32"/>
        </w:rPr>
        <w:t>×100%</w:t>
      </w:r>
    </w:p>
    <w:p w14:paraId="0297A68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客户应平仓释放交易保证金</w:t>
      </w:r>
      <w:r w:rsidRPr="00D51C6A">
        <w:rPr>
          <w:rFonts w:eastAsia="仿宋_GB2312"/>
          <w:color w:val="000000"/>
          <w:sz w:val="32"/>
          <w:szCs w:val="32"/>
        </w:rPr>
        <w:t xml:space="preserve"> = </w:t>
      </w:r>
      <w:r w:rsidRPr="00D51C6A">
        <w:rPr>
          <w:rFonts w:eastAsia="仿宋_GB2312"/>
          <w:color w:val="000000"/>
          <w:sz w:val="32"/>
          <w:szCs w:val="32"/>
        </w:rPr>
        <w:t>该客户交易保证金总额</w:t>
      </w:r>
      <w:r w:rsidRPr="00D51C6A">
        <w:rPr>
          <w:rFonts w:eastAsia="仿宋_GB2312"/>
          <w:color w:val="000000"/>
          <w:sz w:val="32"/>
          <w:szCs w:val="32"/>
        </w:rPr>
        <w:t>×</w:t>
      </w:r>
      <w:r w:rsidRPr="00D51C6A">
        <w:rPr>
          <w:rFonts w:eastAsia="仿宋_GB2312"/>
          <w:color w:val="000000"/>
          <w:sz w:val="32"/>
          <w:szCs w:val="32"/>
        </w:rPr>
        <w:t>平仓比例</w:t>
      </w:r>
    </w:p>
    <w:p w14:paraId="0EDC607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客户需要强行平仓的头寸的总体确定原则</w:t>
      </w:r>
      <w:proofErr w:type="gramStart"/>
      <w:r w:rsidRPr="00D51C6A">
        <w:rPr>
          <w:rFonts w:eastAsia="仿宋_GB2312"/>
          <w:color w:val="000000"/>
          <w:sz w:val="32"/>
          <w:szCs w:val="32"/>
        </w:rPr>
        <w:t>为先非组合</w:t>
      </w:r>
      <w:proofErr w:type="gramEnd"/>
      <w:r w:rsidRPr="00D51C6A">
        <w:rPr>
          <w:rFonts w:eastAsia="仿宋_GB2312"/>
          <w:color w:val="000000"/>
          <w:sz w:val="32"/>
          <w:szCs w:val="32"/>
        </w:rPr>
        <w:t>持仓、后组合持仓。其中：</w:t>
      </w:r>
    </w:p>
    <w:p w14:paraId="376E4DE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1</w:t>
      </w:r>
      <w:r w:rsidRPr="00D51C6A">
        <w:rPr>
          <w:rFonts w:eastAsia="仿宋_GB2312"/>
          <w:color w:val="000000"/>
          <w:sz w:val="32"/>
          <w:szCs w:val="32"/>
        </w:rPr>
        <w:t>）</w:t>
      </w:r>
      <w:proofErr w:type="gramStart"/>
      <w:r w:rsidRPr="00D51C6A">
        <w:rPr>
          <w:rFonts w:eastAsia="仿宋_GB2312"/>
          <w:color w:val="000000"/>
          <w:sz w:val="32"/>
          <w:szCs w:val="32"/>
        </w:rPr>
        <w:t>平非组合</w:t>
      </w:r>
      <w:proofErr w:type="gramEnd"/>
      <w:r w:rsidRPr="00D51C6A">
        <w:rPr>
          <w:rFonts w:eastAsia="仿宋_GB2312"/>
          <w:color w:val="000000"/>
          <w:sz w:val="32"/>
          <w:szCs w:val="32"/>
        </w:rPr>
        <w:t>持仓时，按先期货、后期权的原则选择强行平仓合约。</w:t>
      </w:r>
    </w:p>
    <w:p w14:paraId="1DAFE4D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proofErr w:type="gramStart"/>
      <w:r w:rsidRPr="00D51C6A">
        <w:rPr>
          <w:rFonts w:eastAsia="仿宋_GB2312"/>
          <w:color w:val="000000"/>
          <w:sz w:val="32"/>
          <w:szCs w:val="32"/>
        </w:rPr>
        <w:t>平非组合</w:t>
      </w:r>
      <w:proofErr w:type="gramEnd"/>
      <w:r w:rsidRPr="00D51C6A">
        <w:rPr>
          <w:rFonts w:eastAsia="仿宋_GB2312"/>
          <w:color w:val="000000"/>
          <w:sz w:val="32"/>
          <w:szCs w:val="32"/>
        </w:rPr>
        <w:t>持仓中的期货持仓时，按先投机、后套期保值，再按上一交易日结算时合约总持仓量由大到小顺序选择强行平仓合约。</w:t>
      </w:r>
    </w:p>
    <w:p w14:paraId="7FEA2BD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proofErr w:type="gramStart"/>
      <w:r w:rsidRPr="00D51C6A">
        <w:rPr>
          <w:rFonts w:eastAsia="仿宋_GB2312"/>
          <w:color w:val="000000"/>
          <w:sz w:val="32"/>
          <w:szCs w:val="32"/>
        </w:rPr>
        <w:t>平非组合</w:t>
      </w:r>
      <w:proofErr w:type="gramEnd"/>
      <w:r w:rsidRPr="00D51C6A">
        <w:rPr>
          <w:rFonts w:eastAsia="仿宋_GB2312"/>
          <w:color w:val="000000"/>
          <w:sz w:val="32"/>
          <w:szCs w:val="32"/>
        </w:rPr>
        <w:t>持仓中的期权持仓时</w:t>
      </w:r>
      <w:r w:rsidRPr="00D51C6A">
        <w:rPr>
          <w:rFonts w:eastAsia="仿宋_GB2312"/>
          <w:color w:val="000000"/>
          <w:sz w:val="32"/>
          <w:szCs w:val="32"/>
        </w:rPr>
        <w:t>,</w:t>
      </w:r>
      <w:r w:rsidRPr="00D51C6A">
        <w:rPr>
          <w:rFonts w:eastAsia="仿宋_GB2312"/>
          <w:color w:val="000000"/>
          <w:sz w:val="32"/>
          <w:szCs w:val="32"/>
        </w:rPr>
        <w:t>按先</w:t>
      </w:r>
      <w:proofErr w:type="gramStart"/>
      <w:r w:rsidRPr="00D51C6A">
        <w:rPr>
          <w:rFonts w:eastAsia="仿宋_GB2312"/>
          <w:color w:val="000000"/>
          <w:sz w:val="32"/>
          <w:szCs w:val="32"/>
        </w:rPr>
        <w:t>期权卖</w:t>
      </w:r>
      <w:proofErr w:type="gramEnd"/>
      <w:r w:rsidRPr="00D51C6A">
        <w:rPr>
          <w:rFonts w:eastAsia="仿宋_GB2312"/>
          <w:color w:val="000000"/>
          <w:sz w:val="32"/>
          <w:szCs w:val="32"/>
        </w:rPr>
        <w:t>持仓、后</w:t>
      </w:r>
      <w:proofErr w:type="gramStart"/>
      <w:r w:rsidRPr="00D51C6A">
        <w:rPr>
          <w:rFonts w:eastAsia="仿宋_GB2312"/>
          <w:color w:val="000000"/>
          <w:sz w:val="32"/>
          <w:szCs w:val="32"/>
        </w:rPr>
        <w:t>期权买</w:t>
      </w:r>
      <w:proofErr w:type="gramEnd"/>
      <w:r w:rsidRPr="00D51C6A">
        <w:rPr>
          <w:rFonts w:eastAsia="仿宋_GB2312"/>
          <w:color w:val="000000"/>
          <w:sz w:val="32"/>
          <w:szCs w:val="32"/>
        </w:rPr>
        <w:t>持仓，先投机、后套期保值，再按上一交易日结算时合约总持仓量由大到小顺序选择强行平仓合约。</w:t>
      </w:r>
    </w:p>
    <w:p w14:paraId="55A007D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2</w:t>
      </w:r>
      <w:r w:rsidRPr="00D51C6A">
        <w:rPr>
          <w:rFonts w:eastAsia="仿宋_GB2312"/>
          <w:color w:val="000000"/>
          <w:sz w:val="32"/>
          <w:szCs w:val="32"/>
        </w:rPr>
        <w:t>）平组合持仓时，按组合优先级由低到高顺序选择强行平仓合约。</w:t>
      </w:r>
    </w:p>
    <w:p w14:paraId="7759499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若多个会员需要强行平仓的，按追加保证金由大到小的顺序，先</w:t>
      </w:r>
      <w:proofErr w:type="gramStart"/>
      <w:r w:rsidRPr="00D51C6A">
        <w:rPr>
          <w:rFonts w:eastAsia="仿宋_GB2312"/>
          <w:color w:val="000000"/>
          <w:sz w:val="32"/>
          <w:szCs w:val="32"/>
        </w:rPr>
        <w:t>平需要</w:t>
      </w:r>
      <w:proofErr w:type="gramEnd"/>
      <w:r w:rsidRPr="00D51C6A">
        <w:rPr>
          <w:rFonts w:eastAsia="仿宋_GB2312"/>
          <w:color w:val="000000"/>
          <w:sz w:val="32"/>
          <w:szCs w:val="32"/>
        </w:rPr>
        <w:t>追加保证金大的会员。</w:t>
      </w:r>
    </w:p>
    <w:p w14:paraId="376A516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属第四十一条第（二）项的强行平仓：若既有投机</w:t>
      </w:r>
      <w:proofErr w:type="gramStart"/>
      <w:r w:rsidRPr="00D51C6A">
        <w:rPr>
          <w:rFonts w:eastAsia="仿宋_GB2312"/>
          <w:color w:val="000000"/>
          <w:sz w:val="32"/>
          <w:szCs w:val="32"/>
        </w:rPr>
        <w:t>持仓超仓也有</w:t>
      </w:r>
      <w:proofErr w:type="gramEnd"/>
      <w:r w:rsidRPr="00D51C6A">
        <w:rPr>
          <w:rFonts w:eastAsia="仿宋_GB2312"/>
          <w:color w:val="000000"/>
          <w:sz w:val="32"/>
          <w:szCs w:val="32"/>
        </w:rPr>
        <w:t>保值持仓超仓，则按先投机持仓后保值持仓的顺序强行平仓。</w:t>
      </w:r>
    </w:p>
    <w:p w14:paraId="04C17A9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若客户在多个期货公司会员处持有投机持仓，则按该客户投机持仓数量由大到小的顺序选择期货公司会员强行平仓。若多个客户投机持仓超仓，则按客户投机</w:t>
      </w:r>
      <w:proofErr w:type="gramStart"/>
      <w:r w:rsidRPr="00D51C6A">
        <w:rPr>
          <w:rFonts w:eastAsia="仿宋_GB2312"/>
          <w:color w:val="000000"/>
          <w:sz w:val="32"/>
          <w:szCs w:val="32"/>
        </w:rPr>
        <w:t>超仓数量</w:t>
      </w:r>
      <w:proofErr w:type="gramEnd"/>
      <w:r w:rsidRPr="00D51C6A">
        <w:rPr>
          <w:rFonts w:eastAsia="仿宋_GB2312"/>
          <w:color w:val="000000"/>
          <w:sz w:val="32"/>
          <w:szCs w:val="32"/>
        </w:rPr>
        <w:t>由大到小顺序强行平仓。</w:t>
      </w:r>
    </w:p>
    <w:p w14:paraId="0D89BA9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3. </w:t>
      </w:r>
      <w:r w:rsidRPr="00D51C6A">
        <w:rPr>
          <w:rFonts w:eastAsia="仿宋_GB2312"/>
          <w:color w:val="000000"/>
          <w:sz w:val="32"/>
          <w:szCs w:val="32"/>
        </w:rPr>
        <w:t>属第四十一条第（三）、（四）、（五）项的强行平仓，强行平</w:t>
      </w:r>
      <w:proofErr w:type="gramStart"/>
      <w:r w:rsidRPr="00D51C6A">
        <w:rPr>
          <w:rFonts w:eastAsia="仿宋_GB2312"/>
          <w:color w:val="000000"/>
          <w:sz w:val="32"/>
          <w:szCs w:val="32"/>
        </w:rPr>
        <w:t>仓头寸由交易所</w:t>
      </w:r>
      <w:proofErr w:type="gramEnd"/>
      <w:r w:rsidRPr="00D51C6A">
        <w:rPr>
          <w:rFonts w:eastAsia="仿宋_GB2312"/>
          <w:color w:val="000000"/>
          <w:sz w:val="32"/>
          <w:szCs w:val="32"/>
        </w:rPr>
        <w:t>根据涉及的会员和客户具体情况确定。</w:t>
      </w:r>
    </w:p>
    <w:p w14:paraId="77C81FB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若会员同时满足第四十一条第（一）、（二）项情况，交易所先按第（二）项情况确定强行平</w:t>
      </w:r>
      <w:proofErr w:type="gramStart"/>
      <w:r w:rsidRPr="00D51C6A">
        <w:rPr>
          <w:rFonts w:eastAsia="仿宋_GB2312"/>
          <w:color w:val="000000"/>
          <w:sz w:val="32"/>
          <w:szCs w:val="32"/>
        </w:rPr>
        <w:t>仓头</w:t>
      </w:r>
      <w:proofErr w:type="gramEnd"/>
      <w:r w:rsidRPr="00D51C6A">
        <w:rPr>
          <w:rFonts w:eastAsia="仿宋_GB2312"/>
          <w:color w:val="000000"/>
          <w:sz w:val="32"/>
          <w:szCs w:val="32"/>
        </w:rPr>
        <w:t>寸，再按第（一）项情况确定强行平</w:t>
      </w:r>
      <w:proofErr w:type="gramStart"/>
      <w:r w:rsidRPr="00D51C6A">
        <w:rPr>
          <w:rFonts w:eastAsia="仿宋_GB2312"/>
          <w:color w:val="000000"/>
          <w:sz w:val="32"/>
          <w:szCs w:val="32"/>
        </w:rPr>
        <w:t>仓头</w:t>
      </w:r>
      <w:proofErr w:type="gramEnd"/>
      <w:r w:rsidRPr="00D51C6A">
        <w:rPr>
          <w:rFonts w:eastAsia="仿宋_GB2312"/>
          <w:color w:val="000000"/>
          <w:sz w:val="32"/>
          <w:szCs w:val="32"/>
        </w:rPr>
        <w:t>寸。</w:t>
      </w:r>
    </w:p>
    <w:p w14:paraId="5375F97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第四十三条</w:t>
      </w:r>
      <w:r w:rsidRPr="00D51C6A">
        <w:rPr>
          <w:rFonts w:eastAsia="仿宋_GB2312"/>
          <w:color w:val="000000"/>
          <w:sz w:val="32"/>
          <w:szCs w:val="32"/>
        </w:rPr>
        <w:t xml:space="preserve"> </w:t>
      </w:r>
      <w:r w:rsidRPr="00D51C6A">
        <w:rPr>
          <w:rFonts w:eastAsia="仿宋_GB2312"/>
          <w:color w:val="000000"/>
          <w:sz w:val="32"/>
          <w:szCs w:val="32"/>
        </w:rPr>
        <w:t>强行平仓的执行：</w:t>
      </w:r>
    </w:p>
    <w:p w14:paraId="6FF0FED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（一）通知。</w:t>
      </w:r>
    </w:p>
    <w:p w14:paraId="0B6E1E9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交易所以</w:t>
      </w:r>
      <w:r w:rsidRPr="00D51C6A">
        <w:rPr>
          <w:rFonts w:eastAsia="仿宋_GB2312"/>
          <w:color w:val="000000"/>
          <w:sz w:val="32"/>
          <w:szCs w:val="32"/>
        </w:rPr>
        <w:t>“</w:t>
      </w:r>
      <w:r w:rsidRPr="00D51C6A">
        <w:rPr>
          <w:rFonts w:eastAsia="仿宋_GB2312"/>
          <w:color w:val="000000"/>
          <w:sz w:val="32"/>
          <w:szCs w:val="32"/>
        </w:rPr>
        <w:t>强行平仓通知书</w:t>
      </w:r>
      <w:r w:rsidRPr="00D51C6A">
        <w:rPr>
          <w:rFonts w:eastAsia="仿宋_GB2312"/>
          <w:color w:val="000000"/>
          <w:sz w:val="32"/>
          <w:szCs w:val="32"/>
        </w:rPr>
        <w:t>”</w:t>
      </w:r>
      <w:r w:rsidRPr="00D51C6A">
        <w:rPr>
          <w:rFonts w:eastAsia="仿宋_GB2312"/>
          <w:color w:val="000000"/>
          <w:sz w:val="32"/>
          <w:szCs w:val="32"/>
        </w:rPr>
        <w:t>（以下简称通知书）的形式向有关会员下达强行平仓要求。通知书除交易所特别送达以外，通过会员服务系统随当日结算数据发送，有关会员可以通过会员服务系统获得。</w:t>
      </w:r>
    </w:p>
    <w:p w14:paraId="1A97F9E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（二）执行及确认。</w:t>
      </w:r>
    </w:p>
    <w:p w14:paraId="535A8FC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开市后，有关会员必须首先自行平仓，直至达到平仓要求；</w:t>
      </w:r>
    </w:p>
    <w:p w14:paraId="544A60A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超过会员自行强行平仓时限而未执行完毕的，剩余部份由交易所直接执行强行平仓；</w:t>
      </w:r>
    </w:p>
    <w:p w14:paraId="446A58E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3. </w:t>
      </w:r>
      <w:r w:rsidRPr="00D51C6A">
        <w:rPr>
          <w:rFonts w:eastAsia="仿宋_GB2312"/>
          <w:color w:val="000000"/>
          <w:sz w:val="32"/>
          <w:szCs w:val="32"/>
        </w:rPr>
        <w:t>强行平仓执行完毕后，由交易所记录执行结果并存档；</w:t>
      </w:r>
    </w:p>
    <w:p w14:paraId="3EE09FC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w:t>
      </w:r>
      <w:r w:rsidRPr="00D51C6A">
        <w:rPr>
          <w:rFonts w:eastAsia="仿宋_GB2312"/>
          <w:color w:val="000000"/>
          <w:sz w:val="32"/>
          <w:szCs w:val="32"/>
        </w:rPr>
        <w:t xml:space="preserve">4. </w:t>
      </w:r>
      <w:r w:rsidRPr="00D51C6A">
        <w:rPr>
          <w:rFonts w:eastAsia="仿宋_GB2312"/>
          <w:color w:val="000000"/>
          <w:sz w:val="32"/>
          <w:szCs w:val="32"/>
        </w:rPr>
        <w:t>强行平仓结果随当日成交记录发送，有关会员可以通过会员服务系统获得。</w:t>
      </w:r>
    </w:p>
    <w:p w14:paraId="4A5D9E2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第四十四条</w:t>
      </w:r>
      <w:r w:rsidRPr="00D51C6A">
        <w:rPr>
          <w:rFonts w:eastAsia="仿宋_GB2312"/>
          <w:color w:val="000000"/>
          <w:sz w:val="32"/>
          <w:szCs w:val="32"/>
        </w:rPr>
        <w:t xml:space="preserve"> </w:t>
      </w:r>
      <w:r w:rsidRPr="00D51C6A">
        <w:rPr>
          <w:rFonts w:eastAsia="仿宋_GB2312"/>
          <w:color w:val="000000"/>
          <w:sz w:val="32"/>
          <w:szCs w:val="32"/>
        </w:rPr>
        <w:t>强行平仓的委托价格为该合约的涨（跌）停板价格，强行平仓的成交价格通过市场交易形成。</w:t>
      </w:r>
    </w:p>
    <w:p w14:paraId="048945B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第四十五条</w:t>
      </w:r>
      <w:r w:rsidRPr="00D51C6A">
        <w:rPr>
          <w:rFonts w:eastAsia="仿宋_GB2312"/>
          <w:color w:val="000000"/>
          <w:sz w:val="32"/>
          <w:szCs w:val="32"/>
        </w:rPr>
        <w:t xml:space="preserve"> </w:t>
      </w:r>
      <w:r w:rsidRPr="00D51C6A">
        <w:rPr>
          <w:rFonts w:eastAsia="仿宋_GB2312"/>
          <w:color w:val="000000"/>
          <w:sz w:val="32"/>
          <w:szCs w:val="32"/>
        </w:rPr>
        <w:t>如因价格涨跌停板或其他市场原因而无法在当日完成全部强行平仓的，交易所根据结算结果，对该会员或客户做出相应的处理。</w:t>
      </w:r>
    </w:p>
    <w:p w14:paraId="2144478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第四十六条</w:t>
      </w:r>
      <w:r w:rsidRPr="00D51C6A">
        <w:rPr>
          <w:rFonts w:eastAsia="仿宋_GB2312"/>
          <w:color w:val="000000"/>
          <w:sz w:val="32"/>
          <w:szCs w:val="32"/>
        </w:rPr>
        <w:t xml:space="preserve"> </w:t>
      </w:r>
      <w:r w:rsidRPr="00D51C6A">
        <w:rPr>
          <w:rFonts w:eastAsia="仿宋_GB2312"/>
          <w:color w:val="000000"/>
          <w:sz w:val="32"/>
          <w:szCs w:val="32"/>
        </w:rPr>
        <w:t>由于价格涨跌停板限制或其他市场原因，有关持仓的强行平仓只能延时完成的，因此发生的亏损，仍由直接责任人承担；未能完成平仓的，该持仓持有者须继续对此承担持仓责任或交割义务。</w:t>
      </w:r>
    </w:p>
    <w:p w14:paraId="537831B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第四十七条</w:t>
      </w:r>
      <w:r w:rsidRPr="00D51C6A">
        <w:rPr>
          <w:rFonts w:eastAsia="仿宋_GB2312"/>
          <w:color w:val="000000"/>
          <w:sz w:val="32"/>
          <w:szCs w:val="32"/>
        </w:rPr>
        <w:t xml:space="preserve"> </w:t>
      </w:r>
      <w:r w:rsidRPr="00D51C6A">
        <w:rPr>
          <w:rFonts w:eastAsia="仿宋_GB2312"/>
          <w:color w:val="000000"/>
          <w:sz w:val="32"/>
          <w:szCs w:val="32"/>
        </w:rPr>
        <w:t>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w:t>
      </w:r>
      <w:r w:rsidRPr="00D51C6A">
        <w:rPr>
          <w:rFonts w:eastAsia="仿宋_GB2312"/>
          <w:color w:val="000000"/>
          <w:sz w:val="32"/>
          <w:szCs w:val="32"/>
        </w:rPr>
        <w:t>,</w:t>
      </w:r>
      <w:r w:rsidRPr="00D51C6A">
        <w:rPr>
          <w:rFonts w:eastAsia="仿宋_GB2312"/>
          <w:color w:val="000000"/>
          <w:sz w:val="32"/>
          <w:szCs w:val="32"/>
        </w:rPr>
        <w:t>自行向该境外经纪机构追索，境外经纪机构承担损失后，自行向该客户追索。</w:t>
      </w:r>
    </w:p>
    <w:p w14:paraId="45195F5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本办法第四十一条第（三）项实施的强行平仓，亏损由相应的会员或客户承担，盈利计入交易所营业外收入。</w:t>
      </w:r>
    </w:p>
    <w:p w14:paraId="796AE56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会员或客户强行平仓产生的盈利或者亏损根据《大连商</w:t>
      </w:r>
      <w:r w:rsidRPr="00D51C6A">
        <w:rPr>
          <w:rFonts w:eastAsia="仿宋_GB2312"/>
          <w:color w:val="000000"/>
          <w:sz w:val="32"/>
          <w:szCs w:val="32"/>
        </w:rPr>
        <w:lastRenderedPageBreak/>
        <w:t>品交易所结算管理办法》平仓盈亏有关规定计算。</w:t>
      </w:r>
    </w:p>
    <w:p w14:paraId="14F013CA"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第八章 异常情况处理</w:t>
      </w:r>
    </w:p>
    <w:p w14:paraId="5933DEA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第四十八条</w:t>
      </w:r>
      <w:r w:rsidRPr="00D51C6A">
        <w:rPr>
          <w:rFonts w:eastAsia="仿宋_GB2312"/>
          <w:color w:val="000000"/>
          <w:sz w:val="32"/>
          <w:szCs w:val="32"/>
        </w:rPr>
        <w:t xml:space="preserve"> </w:t>
      </w:r>
      <w:r w:rsidRPr="00D51C6A">
        <w:rPr>
          <w:rFonts w:eastAsia="仿宋_GB2312"/>
          <w:color w:val="000000"/>
          <w:sz w:val="32"/>
          <w:szCs w:val="32"/>
        </w:rPr>
        <w:t>在期货交易过程中，当出现以下情形之一的，交易所可以宣布进入异常情况，采取紧急措施化解风险：</w:t>
      </w:r>
    </w:p>
    <w:p w14:paraId="35F1CEA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（一）地震、水灾、火灾等不可抗力或计算机系统故障等不可归责于交易所的原因导致交易无法正常进行；</w:t>
      </w:r>
    </w:p>
    <w:p w14:paraId="18921E5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（二）会员出现结算、交割危机，对市场正在产生或者将产生重大影响；</w:t>
      </w:r>
    </w:p>
    <w:p w14:paraId="38A377A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（三）期货价格出现同方向连续涨跌停板</w:t>
      </w:r>
      <w:r w:rsidRPr="00D51C6A">
        <w:rPr>
          <w:rFonts w:eastAsia="仿宋_GB2312"/>
          <w:color w:val="000000"/>
          <w:sz w:val="32"/>
          <w:szCs w:val="32"/>
        </w:rPr>
        <w:t>,</w:t>
      </w:r>
      <w:r w:rsidRPr="00D51C6A">
        <w:rPr>
          <w:rFonts w:eastAsia="仿宋_GB2312"/>
          <w:color w:val="000000"/>
          <w:sz w:val="32"/>
          <w:szCs w:val="32"/>
        </w:rPr>
        <w:t>有根据认为会员、境外经纪机构或者客户违反交易所交易规则及其实施细则并且对市场正在产生或者即将产生重大影响；</w:t>
      </w:r>
    </w:p>
    <w:p w14:paraId="72321F6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（四）交易所规定的其他情况。</w:t>
      </w:r>
    </w:p>
    <w:p w14:paraId="07EB952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14:paraId="73C6A26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第四十九条</w:t>
      </w:r>
      <w:r w:rsidRPr="00D51C6A">
        <w:rPr>
          <w:rFonts w:eastAsia="仿宋_GB2312"/>
          <w:color w:val="000000"/>
          <w:sz w:val="32"/>
          <w:szCs w:val="32"/>
        </w:rPr>
        <w:t xml:space="preserve"> </w:t>
      </w:r>
      <w:r w:rsidRPr="00D51C6A">
        <w:rPr>
          <w:rFonts w:eastAsia="仿宋_GB2312"/>
          <w:color w:val="000000"/>
          <w:sz w:val="32"/>
          <w:szCs w:val="32"/>
        </w:rPr>
        <w:t>在棕榈油期货交易过程中，因战争、社会动荡、自然灾害等因素对棕榈油进口正在产生或者即将产生重大影响时，交易所可以宣布进入异常情况，交易所总经理可以采取调整开市收市时间、暂停交易、终止交易的紧急措施。</w:t>
      </w:r>
      <w:r w:rsidRPr="00D51C6A">
        <w:rPr>
          <w:rFonts w:eastAsia="仿宋_GB2312"/>
          <w:color w:val="000000"/>
          <w:sz w:val="32"/>
          <w:szCs w:val="32"/>
        </w:rPr>
        <w:lastRenderedPageBreak/>
        <w:t>终止交易当天结算时，棕榈油各合约月份全部持仓按照上一交易日结算价进行平仓。</w:t>
      </w:r>
    </w:p>
    <w:p w14:paraId="26515F6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第五十条</w:t>
      </w:r>
      <w:r w:rsidRPr="00D51C6A">
        <w:rPr>
          <w:rFonts w:eastAsia="仿宋_GB2312"/>
          <w:color w:val="000000"/>
          <w:sz w:val="32"/>
          <w:szCs w:val="32"/>
        </w:rPr>
        <w:t xml:space="preserve"> </w:t>
      </w:r>
      <w:r w:rsidRPr="00D51C6A">
        <w:rPr>
          <w:rFonts w:eastAsia="仿宋_GB2312"/>
          <w:color w:val="000000"/>
          <w:sz w:val="32"/>
          <w:szCs w:val="32"/>
        </w:rPr>
        <w:t>在铁矿石期货交易过程中，因战争、社会动荡、自然灾害等因素对铁矿石进口正在产生或者即将产生重大影响时，交易所可以宣布进入异常情况，交易所总经理可以采取调整开市收市时间、暂停交易、终止交易的紧急措施。终止交易当天结算时，铁矿石各合约月份全部持仓按照上一交易日结算价进行平仓。</w:t>
      </w:r>
    </w:p>
    <w:p w14:paraId="1AC6A4F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第五十一条</w:t>
      </w:r>
      <w:r w:rsidRPr="00D51C6A">
        <w:rPr>
          <w:rFonts w:eastAsia="仿宋_GB2312"/>
          <w:color w:val="000000"/>
          <w:sz w:val="32"/>
          <w:szCs w:val="32"/>
        </w:rPr>
        <w:t xml:space="preserve"> </w:t>
      </w:r>
      <w:r w:rsidRPr="00D51C6A">
        <w:rPr>
          <w:rFonts w:eastAsia="仿宋_GB2312"/>
          <w:color w:val="000000"/>
          <w:sz w:val="32"/>
          <w:szCs w:val="32"/>
        </w:rPr>
        <w:t>交易所宣布异常情况并决定采取紧急措施前必须报告中国证监会。</w:t>
      </w:r>
    </w:p>
    <w:p w14:paraId="51B2DBA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对棕榈油、铁矿石合约采取终止交易紧急措施的，应当经中国证监会批准。</w:t>
      </w:r>
    </w:p>
    <w:p w14:paraId="55A0E27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第五十二条</w:t>
      </w:r>
      <w:r w:rsidRPr="00D51C6A">
        <w:rPr>
          <w:rFonts w:eastAsia="仿宋_GB2312"/>
          <w:color w:val="000000"/>
          <w:sz w:val="32"/>
          <w:szCs w:val="32"/>
        </w:rPr>
        <w:t xml:space="preserve"> </w:t>
      </w:r>
      <w:r w:rsidRPr="00D51C6A">
        <w:rPr>
          <w:rFonts w:eastAsia="仿宋_GB2312"/>
          <w:color w:val="000000"/>
          <w:sz w:val="32"/>
          <w:szCs w:val="32"/>
        </w:rPr>
        <w:t>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14:paraId="181DD34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第五十三条</w:t>
      </w:r>
      <w:r w:rsidRPr="00D51C6A">
        <w:rPr>
          <w:rFonts w:eastAsia="仿宋_GB2312"/>
          <w:color w:val="000000"/>
          <w:sz w:val="32"/>
          <w:szCs w:val="32"/>
        </w:rPr>
        <w:t xml:space="preserve"> </w:t>
      </w:r>
      <w:r w:rsidRPr="00D51C6A">
        <w:rPr>
          <w:rFonts w:eastAsia="仿宋_GB2312"/>
          <w:color w:val="000000"/>
          <w:sz w:val="32"/>
          <w:szCs w:val="32"/>
        </w:rPr>
        <w:t>交易所宣布进入异常情况并决定暂停交易时，暂停交易的期限不得超过</w:t>
      </w:r>
      <w:r w:rsidRPr="00D51C6A">
        <w:rPr>
          <w:rFonts w:eastAsia="仿宋_GB2312"/>
          <w:color w:val="000000"/>
          <w:sz w:val="32"/>
          <w:szCs w:val="32"/>
        </w:rPr>
        <w:t>3</w:t>
      </w:r>
      <w:r w:rsidRPr="00D51C6A">
        <w:rPr>
          <w:rFonts w:eastAsia="仿宋_GB2312"/>
          <w:color w:val="000000"/>
          <w:sz w:val="32"/>
          <w:szCs w:val="32"/>
        </w:rPr>
        <w:t>个交易日，但经中国证监会批准延长的除外。</w:t>
      </w:r>
    </w:p>
    <w:p w14:paraId="4B3F9DB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第五十四条</w:t>
      </w:r>
      <w:r w:rsidRPr="00D51C6A">
        <w:rPr>
          <w:rFonts w:eastAsia="仿宋_GB2312"/>
          <w:color w:val="000000"/>
          <w:sz w:val="32"/>
          <w:szCs w:val="32"/>
        </w:rPr>
        <w:t xml:space="preserve"> </w:t>
      </w:r>
      <w:r w:rsidRPr="00D51C6A">
        <w:rPr>
          <w:rFonts w:eastAsia="仿宋_GB2312"/>
          <w:color w:val="000000"/>
          <w:sz w:val="32"/>
          <w:szCs w:val="32"/>
        </w:rPr>
        <w:t>发生技术故障，存在下列情形时，交易所不承担责任：</w:t>
      </w:r>
    </w:p>
    <w:p w14:paraId="62925B8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（一）因不可抗力引发的技术故障；</w:t>
      </w:r>
    </w:p>
    <w:p w14:paraId="23CE596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（二）非因交易所过错引发的技术故障；</w:t>
      </w:r>
    </w:p>
    <w:p w14:paraId="3E47CA6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（三）法律、法规、规章规定的其他免责情形。</w:t>
      </w:r>
    </w:p>
    <w:p w14:paraId="632DE940"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第九章　风险警示制度</w:t>
      </w:r>
    </w:p>
    <w:p w14:paraId="735A2FC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第五十五条</w:t>
      </w:r>
      <w:r w:rsidRPr="00D51C6A">
        <w:rPr>
          <w:rFonts w:eastAsia="仿宋_GB2312"/>
          <w:color w:val="000000"/>
          <w:sz w:val="32"/>
          <w:szCs w:val="32"/>
        </w:rPr>
        <w:t xml:space="preserve"> </w:t>
      </w:r>
      <w:r w:rsidRPr="00D51C6A">
        <w:rPr>
          <w:rFonts w:eastAsia="仿宋_GB2312"/>
          <w:color w:val="000000"/>
          <w:sz w:val="32"/>
          <w:szCs w:val="32"/>
        </w:rPr>
        <w:t>交易所实行风险警示制度。当交易所认为必要时，可以分别或同时采取要求报告情况、谈话提醒、发布风险提示函等措施中的一种或多种，以警示和化解风险。</w:t>
      </w:r>
    </w:p>
    <w:p w14:paraId="65E835A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第五十六条</w:t>
      </w:r>
      <w:r w:rsidRPr="00D51C6A">
        <w:rPr>
          <w:rFonts w:eastAsia="仿宋_GB2312"/>
          <w:color w:val="000000"/>
          <w:sz w:val="32"/>
          <w:szCs w:val="32"/>
        </w:rPr>
        <w:t xml:space="preserve"> </w:t>
      </w:r>
      <w:r w:rsidRPr="00D51C6A">
        <w:rPr>
          <w:rFonts w:eastAsia="仿宋_GB2312"/>
          <w:color w:val="000000"/>
          <w:sz w:val="32"/>
          <w:szCs w:val="32"/>
        </w:rPr>
        <w:t>出现下列情形之一的，交易所可以要求会员、境外经纪机构或客户报告情况，或约见指定的会员、境外经纪机构高管人员或客户谈话提醒风险：</w:t>
      </w:r>
    </w:p>
    <w:p w14:paraId="185FC08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（一）合约价格出现异常变动；</w:t>
      </w:r>
    </w:p>
    <w:p w14:paraId="2C68F77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（二）品种、合约成交持仓比出现异常变动；</w:t>
      </w:r>
    </w:p>
    <w:p w14:paraId="51EA91E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（三）会员或客户交易行为异常；</w:t>
      </w:r>
    </w:p>
    <w:p w14:paraId="2EED416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（四）会员、境外经纪机构或客户持仓变化较大；</w:t>
      </w:r>
    </w:p>
    <w:p w14:paraId="5EF32CD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（五）会员、境外经纪机构或客户持仓量过大，或持仓占比过高；</w:t>
      </w:r>
    </w:p>
    <w:p w14:paraId="320C09D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（六）会员、境外经纪机构或客户成交量过大，或成交占比过高；</w:t>
      </w:r>
    </w:p>
    <w:p w14:paraId="12E1B5B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（七）会员资金变化较大；</w:t>
      </w:r>
    </w:p>
    <w:p w14:paraId="780469E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（八）会员、境外经纪机构或客户涉嫌违规；</w:t>
      </w:r>
    </w:p>
    <w:p w14:paraId="5C5F562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（九）会员、境外经纪机构或客户被投诉；</w:t>
      </w:r>
    </w:p>
    <w:p w14:paraId="5079CA0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（十）会员、境外经纪机构或客户涉及司法调查或诉讼</w:t>
      </w:r>
      <w:r w:rsidRPr="00D51C6A">
        <w:rPr>
          <w:rFonts w:eastAsia="仿宋_GB2312"/>
          <w:color w:val="000000"/>
          <w:sz w:val="32"/>
          <w:szCs w:val="32"/>
        </w:rPr>
        <w:lastRenderedPageBreak/>
        <w:t>案件；</w:t>
      </w:r>
    </w:p>
    <w:p w14:paraId="6B49160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（十一）交易所认定的其他情形。</w:t>
      </w:r>
    </w:p>
    <w:p w14:paraId="6DE0264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交易所要求会员、境外经纪机构或客户报告情况的，会员、境外经纪机构或客户应当按照交易所要求的时间、内容和方式如实报告。</w:t>
      </w:r>
    </w:p>
    <w:p w14:paraId="4B2929C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交易所实施谈话提醒的，会员、境外经纪机构或客户应当按照交易所要求的时间、地点和方式认真履行。</w:t>
      </w:r>
    </w:p>
    <w:p w14:paraId="0534120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w:t>
      </w:r>
      <w:r w:rsidRPr="00D51C6A">
        <w:rPr>
          <w:rFonts w:eastAsia="仿宋_GB2312"/>
          <w:color w:val="000000"/>
          <w:sz w:val="32"/>
          <w:szCs w:val="32"/>
        </w:rPr>
        <w:t>交易所如果使用电话提示方式，应保留电话录音；如果使用视频谈话方式，应保存相关视频；如果使用现场谈话方式，应保存谈话记录。</w:t>
      </w:r>
    </w:p>
    <w:p w14:paraId="39A5725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第五十七条</w:t>
      </w:r>
      <w:r w:rsidRPr="00D51C6A">
        <w:rPr>
          <w:rFonts w:eastAsia="仿宋_GB2312"/>
          <w:color w:val="000000"/>
          <w:sz w:val="32"/>
          <w:szCs w:val="32"/>
        </w:rPr>
        <w:t xml:space="preserve"> </w:t>
      </w:r>
      <w:r w:rsidRPr="00D51C6A">
        <w:rPr>
          <w:rFonts w:eastAsia="仿宋_GB2312"/>
          <w:color w:val="000000"/>
          <w:sz w:val="32"/>
          <w:szCs w:val="32"/>
        </w:rPr>
        <w:t>发生下列情形之一的，交易所可以向全体或部分会员、境外经纪机构和客户发出风险提示函：</w:t>
      </w:r>
    </w:p>
    <w:p w14:paraId="1B21140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（一）期货市场交易出现异常变化；</w:t>
      </w:r>
    </w:p>
    <w:p w14:paraId="5F09495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（二）国内外期货或现货市场发生较大变化；</w:t>
      </w:r>
    </w:p>
    <w:p w14:paraId="0250A7A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（三）会员、境外经纪机构或客户涉嫌违规；</w:t>
      </w:r>
    </w:p>
    <w:p w14:paraId="6B3C082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（四）会员、境外经纪机构或客户交易存在较大风险；</w:t>
      </w:r>
    </w:p>
    <w:p w14:paraId="7911CE9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（五）交易所认定的其他异常情形。</w:t>
      </w:r>
    </w:p>
    <w:p w14:paraId="3B300C9E"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第十章 附则</w:t>
      </w:r>
    </w:p>
    <w:p w14:paraId="3D60CA1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第五十八条</w:t>
      </w:r>
      <w:r w:rsidRPr="00D51C6A">
        <w:rPr>
          <w:rFonts w:eastAsia="仿宋_GB2312"/>
          <w:color w:val="000000"/>
          <w:sz w:val="32"/>
          <w:szCs w:val="32"/>
        </w:rPr>
        <w:t xml:space="preserve"> </w:t>
      </w:r>
      <w:r w:rsidRPr="00D51C6A">
        <w:rPr>
          <w:rFonts w:eastAsia="仿宋_GB2312"/>
          <w:color w:val="000000"/>
          <w:sz w:val="32"/>
          <w:szCs w:val="32"/>
        </w:rPr>
        <w:t>违反本办法规定的，交易所按《大连商品交易所违规处理办法》的有关规定处理。</w:t>
      </w:r>
    </w:p>
    <w:p w14:paraId="4534984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第五十九条</w:t>
      </w:r>
      <w:r w:rsidRPr="00D51C6A">
        <w:rPr>
          <w:rFonts w:eastAsia="仿宋_GB2312"/>
          <w:color w:val="000000"/>
          <w:sz w:val="32"/>
          <w:szCs w:val="32"/>
        </w:rPr>
        <w:t xml:space="preserve">  </w:t>
      </w:r>
      <w:r w:rsidRPr="00D51C6A">
        <w:rPr>
          <w:rFonts w:eastAsia="仿宋_GB2312"/>
          <w:color w:val="000000"/>
          <w:sz w:val="32"/>
          <w:szCs w:val="32"/>
        </w:rPr>
        <w:t>交易所对期权交易风险管理有特别规定的，适用其规定。</w:t>
      </w:r>
    </w:p>
    <w:p w14:paraId="0DC3058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lastRenderedPageBreak/>
        <w:t xml:space="preserve">　　第六十条</w:t>
      </w:r>
      <w:r w:rsidRPr="00D51C6A">
        <w:rPr>
          <w:rFonts w:eastAsia="仿宋_GB2312"/>
          <w:color w:val="000000"/>
          <w:sz w:val="32"/>
          <w:szCs w:val="32"/>
        </w:rPr>
        <w:t xml:space="preserve"> </w:t>
      </w:r>
      <w:r w:rsidRPr="00D51C6A">
        <w:rPr>
          <w:rFonts w:eastAsia="仿宋_GB2312"/>
          <w:color w:val="000000"/>
          <w:sz w:val="32"/>
          <w:szCs w:val="32"/>
        </w:rPr>
        <w:t>本办法解释权属于大连商品交易所。</w:t>
      </w:r>
    </w:p>
    <w:p w14:paraId="0DB70FAA" w14:textId="77777777" w:rsidR="00F13EF7" w:rsidRDefault="00F13EF7" w:rsidP="00F13EF7">
      <w:pPr>
        <w:ind w:firstLine="645"/>
        <w:rPr>
          <w:rFonts w:eastAsia="仿宋_GB2312"/>
          <w:color w:val="000000"/>
          <w:sz w:val="32"/>
          <w:szCs w:val="32"/>
        </w:rPr>
      </w:pPr>
      <w:r w:rsidRPr="00D51C6A">
        <w:rPr>
          <w:rFonts w:eastAsia="仿宋_GB2312"/>
          <w:color w:val="000000"/>
          <w:sz w:val="32"/>
          <w:szCs w:val="32"/>
        </w:rPr>
        <w:t>第六十一条</w:t>
      </w:r>
      <w:r w:rsidRPr="00D51C6A">
        <w:rPr>
          <w:rFonts w:eastAsia="仿宋_GB2312"/>
          <w:color w:val="000000"/>
          <w:sz w:val="32"/>
          <w:szCs w:val="32"/>
        </w:rPr>
        <w:t xml:space="preserve"> </w:t>
      </w:r>
      <w:r w:rsidRPr="00D51C6A">
        <w:rPr>
          <w:rFonts w:eastAsia="仿宋_GB2312"/>
          <w:color w:val="000000"/>
          <w:sz w:val="32"/>
          <w:szCs w:val="32"/>
        </w:rPr>
        <w:t>本办法自公布之日起实施。</w:t>
      </w:r>
    </w:p>
    <w:p w14:paraId="42E0B284" w14:textId="77777777" w:rsidR="00F13EF7" w:rsidRPr="00D51C6A" w:rsidRDefault="00F13EF7" w:rsidP="00F13EF7">
      <w:pPr>
        <w:ind w:firstLine="645"/>
        <w:rPr>
          <w:rFonts w:eastAsia="仿宋_GB2312"/>
          <w:color w:val="000000"/>
          <w:sz w:val="32"/>
          <w:szCs w:val="32"/>
        </w:rPr>
      </w:pPr>
    </w:p>
    <w:p w14:paraId="412D4FE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hyperlink r:id="rId9" w:history="1">
        <w:r w:rsidRPr="00D51C6A">
          <w:rPr>
            <w:rFonts w:eastAsia="仿宋_GB2312"/>
            <w:color w:val="000000"/>
            <w:sz w:val="32"/>
            <w:szCs w:val="32"/>
          </w:rPr>
          <w:t>附件</w:t>
        </w:r>
        <w:r w:rsidRPr="00D51C6A">
          <w:rPr>
            <w:rFonts w:eastAsia="仿宋_GB2312"/>
            <w:color w:val="000000"/>
            <w:sz w:val="32"/>
            <w:szCs w:val="32"/>
          </w:rPr>
          <w:t>1</w:t>
        </w:r>
        <w:r w:rsidRPr="00D51C6A">
          <w:rPr>
            <w:rFonts w:eastAsia="仿宋_GB2312"/>
            <w:color w:val="000000"/>
            <w:sz w:val="32"/>
            <w:szCs w:val="32"/>
          </w:rPr>
          <w:t>：连续三个涨跌停板后平仓数量的分配方法及步骤</w:t>
        </w:r>
        <w:r w:rsidRPr="00D51C6A">
          <w:rPr>
            <w:rFonts w:eastAsia="仿宋_GB2312"/>
            <w:color w:val="000000"/>
            <w:sz w:val="32"/>
            <w:szCs w:val="32"/>
          </w:rPr>
          <w:t>.docx</w:t>
        </w:r>
      </w:hyperlink>
    </w:p>
    <w:p w14:paraId="025F954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hyperlink r:id="rId10" w:history="1">
        <w:r w:rsidRPr="00D51C6A">
          <w:rPr>
            <w:rFonts w:eastAsia="仿宋_GB2312"/>
            <w:color w:val="000000"/>
            <w:sz w:val="32"/>
            <w:szCs w:val="32"/>
          </w:rPr>
          <w:t>附件</w:t>
        </w:r>
        <w:r w:rsidRPr="00D51C6A">
          <w:rPr>
            <w:rFonts w:eastAsia="仿宋_GB2312"/>
            <w:color w:val="000000"/>
            <w:sz w:val="32"/>
            <w:szCs w:val="32"/>
          </w:rPr>
          <w:t>2</w:t>
        </w:r>
        <w:r w:rsidRPr="00D51C6A">
          <w:rPr>
            <w:rFonts w:eastAsia="仿宋_GB2312"/>
            <w:color w:val="000000"/>
            <w:sz w:val="32"/>
            <w:szCs w:val="32"/>
          </w:rPr>
          <w:t>：大连商品交易所非期货公司会员大户报告表</w:t>
        </w:r>
        <w:r w:rsidRPr="00D51C6A">
          <w:rPr>
            <w:rFonts w:eastAsia="仿宋_GB2312"/>
            <w:color w:val="000000"/>
            <w:sz w:val="32"/>
            <w:szCs w:val="32"/>
          </w:rPr>
          <w:t>.docx</w:t>
        </w:r>
      </w:hyperlink>
    </w:p>
    <w:p w14:paraId="27EFAE4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hyperlink r:id="rId11" w:history="1">
        <w:r w:rsidRPr="00D51C6A">
          <w:rPr>
            <w:rFonts w:eastAsia="仿宋_GB2312"/>
            <w:color w:val="000000"/>
            <w:sz w:val="32"/>
            <w:szCs w:val="32"/>
          </w:rPr>
          <w:t>附件</w:t>
        </w:r>
        <w:r w:rsidRPr="00D51C6A">
          <w:rPr>
            <w:rFonts w:eastAsia="仿宋_GB2312"/>
            <w:color w:val="000000"/>
            <w:sz w:val="32"/>
            <w:szCs w:val="32"/>
          </w:rPr>
          <w:t>3</w:t>
        </w:r>
        <w:r w:rsidRPr="00D51C6A">
          <w:rPr>
            <w:rFonts w:eastAsia="仿宋_GB2312"/>
            <w:color w:val="000000"/>
            <w:sz w:val="32"/>
            <w:szCs w:val="32"/>
          </w:rPr>
          <w:t>：大连商品交易所客户大户报告表</w:t>
        </w:r>
        <w:r w:rsidRPr="00D51C6A">
          <w:rPr>
            <w:rFonts w:eastAsia="仿宋_GB2312"/>
            <w:color w:val="000000"/>
            <w:sz w:val="32"/>
            <w:szCs w:val="32"/>
          </w:rPr>
          <w:t>.docx</w:t>
        </w:r>
      </w:hyperlink>
    </w:p>
    <w:p w14:paraId="30FC89B9" w14:textId="77777777" w:rsidR="00F13EF7" w:rsidRPr="007C2C3F" w:rsidRDefault="00F13EF7" w:rsidP="00F13EF7">
      <w:r>
        <w:br w:type="page"/>
      </w:r>
      <w:r>
        <w:rPr>
          <w:rFonts w:ascii="仿宋_GB2312" w:eastAsia="仿宋_GB2312" w:hAnsi="微软雅黑" w:hint="eastAsia"/>
          <w:color w:val="333333"/>
          <w:kern w:val="0"/>
          <w:sz w:val="32"/>
          <w:szCs w:val="32"/>
        </w:rPr>
        <w:lastRenderedPageBreak/>
        <w:t>附件1：</w:t>
      </w:r>
    </w:p>
    <w:p w14:paraId="633C38B9" w14:textId="77777777" w:rsidR="00F13EF7" w:rsidRDefault="00F13EF7" w:rsidP="00F13EF7">
      <w:pPr>
        <w:spacing w:beforeLines="50" w:before="156" w:afterLines="50" w:after="156" w:line="440" w:lineRule="exact"/>
        <w:jc w:val="center"/>
        <w:rPr>
          <w:rFonts w:ascii="黑体" w:eastAsia="黑体" w:hAnsi="宋体"/>
          <w:sz w:val="32"/>
          <w:szCs w:val="32"/>
        </w:rPr>
      </w:pPr>
      <w:r>
        <w:rPr>
          <w:rFonts w:ascii="仿宋_GB2312" w:eastAsia="仿宋_GB2312" w:hAnsi="微软雅黑" w:hint="eastAsia"/>
          <w:color w:val="333333"/>
          <w:kern w:val="0"/>
          <w:sz w:val="32"/>
          <w:szCs w:val="32"/>
        </w:rPr>
        <w:t>连续三个涨跌停板后平仓数量的分配方法及步骤</w:t>
      </w:r>
      <w:r>
        <w:rPr>
          <w:rFonts w:ascii="黑体" w:eastAsia="黑体" w:hAnsi="宋体" w:hint="eastAsia"/>
          <w:sz w:val="32"/>
          <w:szCs w:val="32"/>
        </w:rPr>
        <w:t xml:space="preserve"> </w:t>
      </w:r>
    </w:p>
    <w:tbl>
      <w:tblPr>
        <w:tblW w:w="100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27"/>
        <w:gridCol w:w="2025"/>
        <w:gridCol w:w="1799"/>
        <w:gridCol w:w="2161"/>
        <w:gridCol w:w="1801"/>
        <w:gridCol w:w="1437"/>
      </w:tblGrid>
      <w:tr w:rsidR="00F13EF7" w14:paraId="7F76C088"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18590C18"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步骤</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2B31A400"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分配条件</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2A6D5F14"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分配数</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40E55C41"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分配比例</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3A110939"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分配对象</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3A9BA0DB"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结果</w:t>
            </w:r>
          </w:p>
        </w:tc>
      </w:tr>
      <w:tr w:rsidR="00F13EF7" w14:paraId="124B570C"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09C50C7B"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1</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677C93E3"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单位净持仓盈利6%以上的投机持仓≥申报平仓数量</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31425710"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申报平仓数量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5912D45B"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申报平仓数量/ </w:t>
            </w:r>
          </w:p>
          <w:p w14:paraId="4269953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678DC62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单位净持仓盈利6%的投机客户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44F8A7D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分配完毕</w:t>
            </w:r>
          </w:p>
        </w:tc>
      </w:tr>
      <w:tr w:rsidR="00F13EF7" w14:paraId="3A09660D"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6F571177"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2</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7A46059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单位净持仓盈利6%以上的投机持仓&lt;申报平仓数量</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6B50E8A3"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19F9A86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单位净持仓盈利6%以上的投机持仓/ </w:t>
            </w:r>
          </w:p>
          <w:p w14:paraId="19BD7220"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申报平仓数量</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13CFE3C9"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2962454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有剩余再按步骤3,4分配</w:t>
            </w:r>
          </w:p>
        </w:tc>
      </w:tr>
      <w:tr w:rsidR="00F13EF7" w14:paraId="755FE510"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159CDAB7"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3</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3D7F57BA"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单位净持仓盈利3%以上的投机持仓≥剩余申报平仓数量1</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59554BB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剩余申报平仓数量1</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3846A0D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剩余申报平仓数量1/ </w:t>
            </w:r>
          </w:p>
          <w:p w14:paraId="08945D0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3EC0922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单位净持仓盈利3%的投机客户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7CB2E09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分配完毕</w:t>
            </w:r>
          </w:p>
        </w:tc>
      </w:tr>
      <w:tr w:rsidR="00F13EF7" w14:paraId="7D9F0900"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7AE384BB"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4</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0567E5C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单位净持仓盈利3%以上的投机持仓&lt;剩余申报平仓数量1</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7DE605A3"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7C7326F6"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单位净持仓盈利3%以上的投机持仓/ </w:t>
            </w:r>
          </w:p>
          <w:p w14:paraId="68AAA92B"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剩余申报平仓数量1</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7628D5EC"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17A3AFE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有剩余再按步骤5,6分配</w:t>
            </w:r>
          </w:p>
        </w:tc>
      </w:tr>
      <w:tr w:rsidR="00F13EF7" w14:paraId="4D5D206A"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59294307"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5</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1EFD517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单位净持仓盈利大于零的投机持仓≥剩余申报平仓数量2</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772B079C"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剩余申报平仓数量2</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48CFF38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剩余申报平仓数量2/ </w:t>
            </w:r>
          </w:p>
          <w:p w14:paraId="6CBDF4EE"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4E6A307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单位净持仓盈利的投机客户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5AD2358C"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分配完毕</w:t>
            </w:r>
          </w:p>
        </w:tc>
      </w:tr>
      <w:tr w:rsidR="00F13EF7" w14:paraId="7403CF16"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08B15336"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6</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15D1E3C9"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单位净持仓盈利大于零的投机持仓&lt;剩余申报平仓数量2</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301C4D18"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48C6589A"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单位净持仓盈利大于零的投机持仓/ </w:t>
            </w:r>
          </w:p>
          <w:p w14:paraId="7C41DF56"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剩余申报平仓数量2</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0621ECD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5E86CA1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有剩余再按步骤7,8分配</w:t>
            </w:r>
          </w:p>
        </w:tc>
      </w:tr>
      <w:tr w:rsidR="00F13EF7" w14:paraId="0FF964B9"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512C6D10"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7</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3060D235"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单位净持仓盈利7%的保值持仓数量≥剩余申报平仓数量3</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0D6D1B7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剩余申报平仓数量3</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2DC36066"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剩余申报平仓数量3/ </w:t>
            </w:r>
          </w:p>
          <w:p w14:paraId="3B55FD6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6CE8064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净持仓盈利7%的保值客户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1C46B1A9"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分配完毕 </w:t>
            </w:r>
          </w:p>
          <w:p w14:paraId="5F1A5345"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w:t>
            </w:r>
          </w:p>
        </w:tc>
      </w:tr>
      <w:tr w:rsidR="00F13EF7" w14:paraId="5054ED2A"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6D99BAD6"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8</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3DA19555"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单位净持仓盈利7%的保值持仓数量&lt;剩余申报平仓数量3</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7AEAC5C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1BB3473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单位净持仓盈利7%的保值持仓数量/ </w:t>
            </w:r>
          </w:p>
          <w:p w14:paraId="47BF67F0"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剩余申报平仓数量3</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1503380F"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378A511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w:t>
            </w:r>
            <w:proofErr w:type="gramStart"/>
            <w:r>
              <w:rPr>
                <w:rFonts w:ascii="仿宋_GB2312" w:eastAsia="仿宋_GB2312" w:hAnsi="微软雅黑" w:hint="eastAsia"/>
                <w:color w:val="333333"/>
                <w:kern w:val="0"/>
                <w:sz w:val="24"/>
              </w:rPr>
              <w:t>不</w:t>
            </w:r>
            <w:proofErr w:type="gramEnd"/>
            <w:r>
              <w:rPr>
                <w:rFonts w:ascii="仿宋_GB2312" w:eastAsia="仿宋_GB2312" w:hAnsi="微软雅黑" w:hint="eastAsia"/>
                <w:color w:val="333333"/>
                <w:kern w:val="0"/>
                <w:sz w:val="24"/>
              </w:rPr>
              <w:t>再分配</w:t>
            </w:r>
          </w:p>
        </w:tc>
      </w:tr>
    </w:tbl>
    <w:p w14:paraId="651B44FD" w14:textId="77777777" w:rsidR="00F13EF7" w:rsidRDefault="00F13EF7" w:rsidP="00F13EF7">
      <w:pPr>
        <w:rPr>
          <w:rFonts w:ascii="仿宋_GB2312" w:eastAsia="仿宋_GB2312" w:hAnsi="微软雅黑"/>
          <w:color w:val="333333"/>
          <w:kern w:val="0"/>
          <w:sz w:val="24"/>
        </w:rPr>
      </w:pPr>
      <w:r>
        <w:rPr>
          <w:rFonts w:ascii="仿宋_GB2312" w:eastAsia="仿宋_GB2312" w:hAnsi="微软雅黑" w:hint="eastAsia"/>
          <w:color w:val="333333"/>
          <w:kern w:val="0"/>
          <w:sz w:val="24"/>
        </w:rPr>
        <w:t>注: 1. 剩余申报平仓数量1=申报平仓数量-单位净持仓盈利6%以上的投机持仓数量；</w:t>
      </w:r>
      <w:r>
        <w:rPr>
          <w:rFonts w:ascii="仿宋_GB2312" w:eastAsia="仿宋_GB2312" w:hAnsi="微软雅黑" w:hint="eastAsia"/>
          <w:color w:val="333333"/>
          <w:kern w:val="0"/>
          <w:sz w:val="24"/>
        </w:rPr>
        <w:br/>
      </w:r>
      <w:r>
        <w:rPr>
          <w:rFonts w:ascii="仿宋_GB2312" w:eastAsia="仿宋_GB2312" w:hAnsi="微软雅黑" w:hint="eastAsia"/>
          <w:color w:val="333333"/>
          <w:kern w:val="0"/>
          <w:sz w:val="24"/>
        </w:rPr>
        <w:lastRenderedPageBreak/>
        <w:t xml:space="preserve">   2. 剩余申报平仓数量2=剩余申报平仓数量1-单位净持仓盈利3%以上的投机持仓数量；</w:t>
      </w:r>
      <w:r>
        <w:rPr>
          <w:rFonts w:ascii="仿宋_GB2312" w:eastAsia="仿宋_GB2312" w:hAnsi="微软雅黑" w:hint="eastAsia"/>
          <w:color w:val="333333"/>
          <w:kern w:val="0"/>
          <w:sz w:val="24"/>
        </w:rPr>
        <w:br/>
        <w:t xml:space="preserve">   3. 剩余申报平仓数量3=剩余申报平仓数量2-单位净持仓盈利大于零的投机持仓数量；</w:t>
      </w:r>
      <w:r>
        <w:rPr>
          <w:rFonts w:ascii="仿宋_GB2312" w:eastAsia="仿宋_GB2312" w:hAnsi="微软雅黑" w:hint="eastAsia"/>
          <w:color w:val="333333"/>
          <w:kern w:val="0"/>
          <w:sz w:val="24"/>
        </w:rPr>
        <w:br/>
        <w:t xml:space="preserve">   4. 投机持仓数量和保值持仓数量是指在平仓范围内盈利客户的持仓数量。 </w:t>
      </w:r>
    </w:p>
    <w:p w14:paraId="62328ADB" w14:textId="77777777" w:rsidR="00F13EF7" w:rsidRDefault="00F13EF7" w:rsidP="00F13EF7">
      <w:pPr>
        <w:sectPr w:rsidR="00F13EF7">
          <w:footerReference w:type="default" r:id="rId12"/>
          <w:pgSz w:w="11906" w:h="16838"/>
          <w:pgMar w:top="1440" w:right="1800" w:bottom="1440" w:left="1800" w:header="851" w:footer="992" w:gutter="0"/>
          <w:cols w:space="425"/>
          <w:docGrid w:type="lines" w:linePitch="312"/>
        </w:sectPr>
      </w:pPr>
    </w:p>
    <w:p w14:paraId="4805D172" w14:textId="77777777" w:rsidR="00F13EF7" w:rsidRDefault="00F13EF7" w:rsidP="00F13EF7">
      <w:pPr>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lastRenderedPageBreak/>
        <w:t>附件2：</w:t>
      </w:r>
    </w:p>
    <w:p w14:paraId="2240CCBF" w14:textId="77777777" w:rsidR="00F13EF7" w:rsidRDefault="00F13EF7" w:rsidP="00F13EF7">
      <w:pPr>
        <w:jc w:val="center"/>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大连商品交易所非期货公司会员大户报告表</w:t>
      </w:r>
    </w:p>
    <w:p w14:paraId="2AFB760F" w14:textId="77777777" w:rsidR="00F13EF7" w:rsidRDefault="00F13EF7" w:rsidP="00F13EF7">
      <w:pPr>
        <w:spacing w:line="440" w:lineRule="exact"/>
        <w:rPr>
          <w:rFonts w:ascii="宋体" w:hAnsi="宋体"/>
        </w:rPr>
      </w:pPr>
      <w:r>
        <w:rPr>
          <w:rFonts w:ascii="宋体" w:hAnsi="宋体" w:hint="eastAsia"/>
        </w:rPr>
        <w:t xml:space="preserve">会员名称：         会员编号：                                      年   月   日 </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51"/>
        <w:gridCol w:w="850"/>
        <w:gridCol w:w="851"/>
        <w:gridCol w:w="850"/>
        <w:gridCol w:w="709"/>
        <w:gridCol w:w="712"/>
        <w:gridCol w:w="629"/>
        <w:gridCol w:w="610"/>
        <w:gridCol w:w="867"/>
        <w:gridCol w:w="793"/>
        <w:gridCol w:w="804"/>
        <w:gridCol w:w="804"/>
        <w:gridCol w:w="804"/>
      </w:tblGrid>
      <w:tr w:rsidR="00F13EF7" w14:paraId="32272EE2" w14:textId="77777777" w:rsidTr="00752AC1">
        <w:trPr>
          <w:trHeight w:val="255"/>
          <w:jc w:val="center"/>
        </w:trPr>
        <w:tc>
          <w:tcPr>
            <w:tcW w:w="694" w:type="dxa"/>
            <w:vMerge w:val="restart"/>
          </w:tcPr>
          <w:p w14:paraId="0BECD98C" w14:textId="77777777" w:rsidR="00F13EF7" w:rsidRDefault="00F13EF7" w:rsidP="00752AC1">
            <w:pPr>
              <w:spacing w:line="440" w:lineRule="exact"/>
              <w:rPr>
                <w:rFonts w:ascii="宋体" w:hAnsi="宋体"/>
              </w:rPr>
            </w:pPr>
            <w:r>
              <w:rPr>
                <w:rFonts w:ascii="宋体" w:hAnsi="宋体" w:hint="eastAsia"/>
              </w:rPr>
              <w:t>合约代码</w:t>
            </w:r>
          </w:p>
        </w:tc>
        <w:tc>
          <w:tcPr>
            <w:tcW w:w="1701" w:type="dxa"/>
            <w:gridSpan w:val="2"/>
          </w:tcPr>
          <w:p w14:paraId="186276E6" w14:textId="77777777" w:rsidR="00F13EF7" w:rsidRDefault="00F13EF7" w:rsidP="00752AC1">
            <w:pPr>
              <w:spacing w:line="440" w:lineRule="exact"/>
              <w:rPr>
                <w:rFonts w:ascii="宋体" w:hAnsi="宋体"/>
              </w:rPr>
            </w:pPr>
            <w:r>
              <w:rPr>
                <w:rFonts w:ascii="宋体" w:hAnsi="宋体" w:hint="eastAsia"/>
              </w:rPr>
              <w:t>期货合约</w:t>
            </w:r>
          </w:p>
        </w:tc>
        <w:tc>
          <w:tcPr>
            <w:tcW w:w="3122" w:type="dxa"/>
            <w:gridSpan w:val="4"/>
          </w:tcPr>
          <w:p w14:paraId="14782163" w14:textId="77777777" w:rsidR="00F13EF7" w:rsidRDefault="00F13EF7" w:rsidP="00752AC1">
            <w:pPr>
              <w:spacing w:line="440" w:lineRule="exact"/>
              <w:rPr>
                <w:rFonts w:ascii="宋体" w:hAnsi="宋体"/>
              </w:rPr>
            </w:pPr>
            <w:r>
              <w:rPr>
                <w:rFonts w:ascii="宋体" w:hAnsi="宋体" w:hint="eastAsia"/>
              </w:rPr>
              <w:t>期权合约</w:t>
            </w:r>
          </w:p>
        </w:tc>
        <w:tc>
          <w:tcPr>
            <w:tcW w:w="629" w:type="dxa"/>
            <w:vMerge w:val="restart"/>
          </w:tcPr>
          <w:p w14:paraId="5FA57F8C" w14:textId="77777777" w:rsidR="00F13EF7" w:rsidRDefault="00F13EF7" w:rsidP="00752AC1">
            <w:pPr>
              <w:spacing w:line="440" w:lineRule="exact"/>
              <w:rPr>
                <w:rFonts w:ascii="宋体" w:hAnsi="宋体"/>
              </w:rPr>
            </w:pPr>
            <w:r>
              <w:rPr>
                <w:rFonts w:ascii="宋体" w:hAnsi="宋体" w:hint="eastAsia"/>
              </w:rPr>
              <w:t>持仓</w:t>
            </w:r>
          </w:p>
          <w:p w14:paraId="6B1AFA9E" w14:textId="77777777" w:rsidR="00F13EF7" w:rsidRDefault="00F13EF7" w:rsidP="00752AC1">
            <w:pPr>
              <w:spacing w:line="440" w:lineRule="exact"/>
              <w:rPr>
                <w:rFonts w:ascii="宋体" w:hAnsi="宋体"/>
              </w:rPr>
            </w:pPr>
            <w:r>
              <w:rPr>
                <w:rFonts w:ascii="宋体" w:hAnsi="宋体" w:hint="eastAsia"/>
              </w:rPr>
              <w:t>性质</w:t>
            </w:r>
          </w:p>
        </w:tc>
        <w:tc>
          <w:tcPr>
            <w:tcW w:w="610" w:type="dxa"/>
            <w:vMerge w:val="restart"/>
          </w:tcPr>
          <w:p w14:paraId="050D7AA9" w14:textId="77777777" w:rsidR="00F13EF7" w:rsidRDefault="00F13EF7" w:rsidP="00752AC1">
            <w:pPr>
              <w:spacing w:line="440" w:lineRule="exact"/>
              <w:rPr>
                <w:rFonts w:ascii="宋体" w:hAnsi="宋体"/>
              </w:rPr>
            </w:pPr>
            <w:r>
              <w:rPr>
                <w:rFonts w:ascii="宋体" w:hAnsi="宋体" w:hint="eastAsia"/>
              </w:rPr>
              <w:t>建仓</w:t>
            </w:r>
          </w:p>
          <w:p w14:paraId="7127513A" w14:textId="77777777" w:rsidR="00F13EF7" w:rsidRDefault="00F13EF7" w:rsidP="00752AC1">
            <w:pPr>
              <w:spacing w:line="440" w:lineRule="exact"/>
              <w:rPr>
                <w:rFonts w:ascii="宋体" w:hAnsi="宋体"/>
              </w:rPr>
            </w:pPr>
            <w:r>
              <w:rPr>
                <w:rFonts w:ascii="宋体" w:hAnsi="宋体" w:hint="eastAsia"/>
              </w:rPr>
              <w:t>时间</w:t>
            </w:r>
          </w:p>
        </w:tc>
        <w:tc>
          <w:tcPr>
            <w:tcW w:w="867" w:type="dxa"/>
            <w:vMerge w:val="restart"/>
          </w:tcPr>
          <w:p w14:paraId="0C6401E1" w14:textId="77777777" w:rsidR="00F13EF7" w:rsidRDefault="00F13EF7" w:rsidP="00752AC1">
            <w:pPr>
              <w:spacing w:line="440" w:lineRule="exact"/>
              <w:rPr>
                <w:rFonts w:ascii="宋体" w:hAnsi="宋体"/>
              </w:rPr>
            </w:pPr>
            <w:r>
              <w:rPr>
                <w:rFonts w:ascii="宋体" w:hAnsi="宋体" w:hint="eastAsia"/>
              </w:rPr>
              <w:t>持仓占用</w:t>
            </w:r>
          </w:p>
          <w:p w14:paraId="73A8C61D" w14:textId="77777777" w:rsidR="00F13EF7" w:rsidRDefault="00F13EF7" w:rsidP="00752AC1">
            <w:pPr>
              <w:spacing w:line="440" w:lineRule="exact"/>
              <w:rPr>
                <w:rFonts w:ascii="宋体" w:hAnsi="宋体"/>
              </w:rPr>
            </w:pPr>
            <w:r>
              <w:rPr>
                <w:rFonts w:ascii="宋体" w:hAnsi="宋体" w:hint="eastAsia"/>
              </w:rPr>
              <w:t>保证金</w:t>
            </w:r>
          </w:p>
        </w:tc>
        <w:tc>
          <w:tcPr>
            <w:tcW w:w="793" w:type="dxa"/>
            <w:vMerge w:val="restart"/>
          </w:tcPr>
          <w:p w14:paraId="2CC53B46" w14:textId="77777777" w:rsidR="00F13EF7" w:rsidRDefault="00F13EF7" w:rsidP="00752AC1">
            <w:pPr>
              <w:spacing w:line="440" w:lineRule="exact"/>
              <w:rPr>
                <w:rFonts w:ascii="宋体" w:hAnsi="宋体"/>
              </w:rPr>
            </w:pPr>
            <w:r>
              <w:rPr>
                <w:rFonts w:ascii="宋体" w:hAnsi="宋体" w:hint="eastAsia"/>
              </w:rPr>
              <w:t>可动用</w:t>
            </w:r>
          </w:p>
          <w:p w14:paraId="257FC645" w14:textId="77777777" w:rsidR="00F13EF7" w:rsidRDefault="00F13EF7" w:rsidP="00752AC1">
            <w:pPr>
              <w:spacing w:line="440" w:lineRule="exact"/>
              <w:rPr>
                <w:rFonts w:ascii="宋体" w:hAnsi="宋体"/>
              </w:rPr>
            </w:pPr>
            <w:r>
              <w:rPr>
                <w:rFonts w:ascii="宋体" w:hAnsi="宋体" w:hint="eastAsia"/>
              </w:rPr>
              <w:t>资金</w:t>
            </w:r>
          </w:p>
        </w:tc>
        <w:tc>
          <w:tcPr>
            <w:tcW w:w="804" w:type="dxa"/>
            <w:vMerge w:val="restart"/>
          </w:tcPr>
          <w:p w14:paraId="31E616BD" w14:textId="77777777" w:rsidR="00F13EF7" w:rsidRDefault="00F13EF7" w:rsidP="00752AC1">
            <w:pPr>
              <w:spacing w:line="440" w:lineRule="exact"/>
              <w:rPr>
                <w:rFonts w:ascii="宋体" w:hAnsi="宋体"/>
              </w:rPr>
            </w:pPr>
            <w:r>
              <w:rPr>
                <w:rFonts w:ascii="宋体" w:hAnsi="宋体" w:hint="eastAsia"/>
              </w:rPr>
              <w:t>预报交割数量</w:t>
            </w:r>
          </w:p>
        </w:tc>
        <w:tc>
          <w:tcPr>
            <w:tcW w:w="804" w:type="dxa"/>
            <w:vMerge w:val="restart"/>
          </w:tcPr>
          <w:p w14:paraId="63032A0C" w14:textId="77777777" w:rsidR="00F13EF7" w:rsidRDefault="00F13EF7" w:rsidP="00752AC1">
            <w:pPr>
              <w:spacing w:line="440" w:lineRule="exact"/>
              <w:rPr>
                <w:rFonts w:ascii="宋体" w:hAnsi="宋体"/>
              </w:rPr>
            </w:pPr>
            <w:r>
              <w:rPr>
                <w:rFonts w:ascii="宋体" w:hAnsi="宋体" w:hint="eastAsia"/>
              </w:rPr>
              <w:t>申请交割数量</w:t>
            </w:r>
          </w:p>
        </w:tc>
        <w:tc>
          <w:tcPr>
            <w:tcW w:w="804" w:type="dxa"/>
            <w:vMerge w:val="restart"/>
          </w:tcPr>
          <w:p w14:paraId="0B7102F4" w14:textId="77777777" w:rsidR="00F13EF7" w:rsidRDefault="00F13EF7" w:rsidP="00752AC1">
            <w:pPr>
              <w:spacing w:line="440" w:lineRule="exact"/>
              <w:rPr>
                <w:rFonts w:ascii="宋体" w:hAnsi="宋体"/>
              </w:rPr>
            </w:pPr>
            <w:r>
              <w:rPr>
                <w:rFonts w:ascii="宋体" w:hAnsi="宋体" w:hint="eastAsia"/>
              </w:rPr>
              <w:t>持仓</w:t>
            </w:r>
          </w:p>
          <w:p w14:paraId="098AF009" w14:textId="77777777" w:rsidR="00F13EF7" w:rsidRDefault="00F13EF7" w:rsidP="00752AC1">
            <w:pPr>
              <w:spacing w:line="440" w:lineRule="exact"/>
              <w:rPr>
                <w:rFonts w:ascii="宋体" w:hAnsi="宋体"/>
              </w:rPr>
            </w:pPr>
            <w:r>
              <w:rPr>
                <w:rFonts w:ascii="宋体" w:hAnsi="宋体" w:hint="eastAsia"/>
              </w:rPr>
              <w:t>意向</w:t>
            </w:r>
          </w:p>
        </w:tc>
      </w:tr>
      <w:tr w:rsidR="00F13EF7" w14:paraId="79496B17" w14:textId="77777777" w:rsidTr="00752AC1">
        <w:trPr>
          <w:trHeight w:val="615"/>
          <w:jc w:val="center"/>
        </w:trPr>
        <w:tc>
          <w:tcPr>
            <w:tcW w:w="694" w:type="dxa"/>
            <w:vMerge/>
          </w:tcPr>
          <w:p w14:paraId="243E74FC" w14:textId="77777777" w:rsidR="00F13EF7" w:rsidRDefault="00F13EF7" w:rsidP="00752AC1">
            <w:pPr>
              <w:spacing w:line="440" w:lineRule="exact"/>
              <w:rPr>
                <w:rFonts w:ascii="宋体" w:hAnsi="宋体"/>
              </w:rPr>
            </w:pPr>
          </w:p>
        </w:tc>
        <w:tc>
          <w:tcPr>
            <w:tcW w:w="851" w:type="dxa"/>
          </w:tcPr>
          <w:p w14:paraId="0B1ABC12" w14:textId="77777777" w:rsidR="00F13EF7" w:rsidRDefault="00F13EF7" w:rsidP="00752AC1">
            <w:pPr>
              <w:spacing w:line="440" w:lineRule="exact"/>
              <w:rPr>
                <w:rFonts w:ascii="宋体" w:hAnsi="宋体"/>
              </w:rPr>
            </w:pPr>
            <w:r>
              <w:rPr>
                <w:rFonts w:ascii="宋体" w:hAnsi="宋体" w:hint="eastAsia"/>
              </w:rPr>
              <w:t>买持仓量</w:t>
            </w:r>
          </w:p>
        </w:tc>
        <w:tc>
          <w:tcPr>
            <w:tcW w:w="850" w:type="dxa"/>
          </w:tcPr>
          <w:p w14:paraId="1BADADD2" w14:textId="77777777" w:rsidR="00F13EF7" w:rsidRDefault="00F13EF7" w:rsidP="00752AC1">
            <w:pPr>
              <w:spacing w:line="440" w:lineRule="exact"/>
              <w:rPr>
                <w:rFonts w:ascii="宋体" w:hAnsi="宋体"/>
              </w:rPr>
            </w:pPr>
            <w:r>
              <w:rPr>
                <w:rFonts w:ascii="宋体" w:hAnsi="宋体" w:hint="eastAsia"/>
              </w:rPr>
              <w:t>卖持仓量</w:t>
            </w:r>
          </w:p>
        </w:tc>
        <w:tc>
          <w:tcPr>
            <w:tcW w:w="851" w:type="dxa"/>
          </w:tcPr>
          <w:p w14:paraId="70F21C5D" w14:textId="77777777" w:rsidR="00F13EF7" w:rsidRDefault="00F13EF7" w:rsidP="00752AC1">
            <w:pPr>
              <w:spacing w:line="440" w:lineRule="exact"/>
              <w:rPr>
                <w:rFonts w:ascii="宋体" w:hAnsi="宋体"/>
              </w:rPr>
            </w:pPr>
            <w:r>
              <w:rPr>
                <w:rFonts w:ascii="宋体" w:hAnsi="宋体" w:hint="eastAsia"/>
              </w:rPr>
              <w:t>看涨</w:t>
            </w:r>
            <w:proofErr w:type="gramStart"/>
            <w:r>
              <w:rPr>
                <w:rFonts w:ascii="宋体" w:hAnsi="宋体" w:hint="eastAsia"/>
              </w:rPr>
              <w:t>期权买</w:t>
            </w:r>
            <w:proofErr w:type="gramEnd"/>
            <w:r>
              <w:rPr>
                <w:rFonts w:ascii="宋体" w:hAnsi="宋体" w:hint="eastAsia"/>
              </w:rPr>
              <w:t>持仓</w:t>
            </w:r>
          </w:p>
        </w:tc>
        <w:tc>
          <w:tcPr>
            <w:tcW w:w="850" w:type="dxa"/>
          </w:tcPr>
          <w:p w14:paraId="13371C24" w14:textId="77777777" w:rsidR="00F13EF7" w:rsidRDefault="00F13EF7" w:rsidP="00752AC1">
            <w:pPr>
              <w:spacing w:line="440" w:lineRule="exact"/>
              <w:rPr>
                <w:rFonts w:ascii="宋体" w:hAnsi="宋体"/>
              </w:rPr>
            </w:pPr>
            <w:r>
              <w:rPr>
                <w:rFonts w:ascii="宋体" w:hAnsi="宋体" w:hint="eastAsia"/>
              </w:rPr>
              <w:t>看跌</w:t>
            </w:r>
            <w:proofErr w:type="gramStart"/>
            <w:r>
              <w:rPr>
                <w:rFonts w:ascii="宋体" w:hAnsi="宋体" w:hint="eastAsia"/>
              </w:rPr>
              <w:t>期权卖</w:t>
            </w:r>
            <w:proofErr w:type="gramEnd"/>
            <w:r>
              <w:rPr>
                <w:rFonts w:ascii="宋体" w:hAnsi="宋体" w:hint="eastAsia"/>
              </w:rPr>
              <w:t>持仓</w:t>
            </w:r>
          </w:p>
        </w:tc>
        <w:tc>
          <w:tcPr>
            <w:tcW w:w="709" w:type="dxa"/>
          </w:tcPr>
          <w:p w14:paraId="443F4A66" w14:textId="77777777" w:rsidR="00F13EF7" w:rsidRDefault="00F13EF7" w:rsidP="00752AC1">
            <w:pPr>
              <w:spacing w:line="440" w:lineRule="exact"/>
              <w:rPr>
                <w:rFonts w:ascii="宋体" w:hAnsi="宋体"/>
              </w:rPr>
            </w:pPr>
            <w:r>
              <w:rPr>
                <w:rFonts w:ascii="宋体" w:hAnsi="宋体" w:hint="eastAsia"/>
              </w:rPr>
              <w:t>看涨</w:t>
            </w:r>
            <w:proofErr w:type="gramStart"/>
            <w:r>
              <w:rPr>
                <w:rFonts w:ascii="宋体" w:hAnsi="宋体" w:hint="eastAsia"/>
              </w:rPr>
              <w:t>期权卖</w:t>
            </w:r>
            <w:proofErr w:type="gramEnd"/>
            <w:r>
              <w:rPr>
                <w:rFonts w:ascii="宋体" w:hAnsi="宋体" w:hint="eastAsia"/>
              </w:rPr>
              <w:t>持仓</w:t>
            </w:r>
          </w:p>
        </w:tc>
        <w:tc>
          <w:tcPr>
            <w:tcW w:w="712" w:type="dxa"/>
          </w:tcPr>
          <w:p w14:paraId="4B16032C" w14:textId="77777777" w:rsidR="00F13EF7" w:rsidRDefault="00F13EF7" w:rsidP="00752AC1">
            <w:pPr>
              <w:spacing w:line="440" w:lineRule="exact"/>
              <w:rPr>
                <w:rFonts w:ascii="宋体" w:hAnsi="宋体"/>
              </w:rPr>
            </w:pPr>
            <w:r>
              <w:rPr>
                <w:rFonts w:ascii="宋体" w:hAnsi="宋体" w:hint="eastAsia"/>
              </w:rPr>
              <w:t>看跌</w:t>
            </w:r>
            <w:proofErr w:type="gramStart"/>
            <w:r>
              <w:rPr>
                <w:rFonts w:ascii="宋体" w:hAnsi="宋体" w:hint="eastAsia"/>
              </w:rPr>
              <w:t>期权买</w:t>
            </w:r>
            <w:proofErr w:type="gramEnd"/>
            <w:r>
              <w:rPr>
                <w:rFonts w:ascii="宋体" w:hAnsi="宋体" w:hint="eastAsia"/>
              </w:rPr>
              <w:t>持仓</w:t>
            </w:r>
          </w:p>
        </w:tc>
        <w:tc>
          <w:tcPr>
            <w:tcW w:w="629" w:type="dxa"/>
            <w:vMerge/>
          </w:tcPr>
          <w:p w14:paraId="268479D7" w14:textId="77777777" w:rsidR="00F13EF7" w:rsidRDefault="00F13EF7" w:rsidP="00752AC1">
            <w:pPr>
              <w:spacing w:line="440" w:lineRule="exact"/>
              <w:rPr>
                <w:rFonts w:ascii="宋体" w:hAnsi="宋体"/>
              </w:rPr>
            </w:pPr>
          </w:p>
        </w:tc>
        <w:tc>
          <w:tcPr>
            <w:tcW w:w="610" w:type="dxa"/>
            <w:vMerge/>
          </w:tcPr>
          <w:p w14:paraId="4342F231" w14:textId="77777777" w:rsidR="00F13EF7" w:rsidRDefault="00F13EF7" w:rsidP="00752AC1">
            <w:pPr>
              <w:spacing w:line="440" w:lineRule="exact"/>
              <w:rPr>
                <w:rFonts w:ascii="宋体" w:hAnsi="宋体"/>
              </w:rPr>
            </w:pPr>
          </w:p>
        </w:tc>
        <w:tc>
          <w:tcPr>
            <w:tcW w:w="867" w:type="dxa"/>
            <w:vMerge/>
          </w:tcPr>
          <w:p w14:paraId="7A520768" w14:textId="77777777" w:rsidR="00F13EF7" w:rsidRDefault="00F13EF7" w:rsidP="00752AC1">
            <w:pPr>
              <w:spacing w:line="440" w:lineRule="exact"/>
              <w:rPr>
                <w:rFonts w:ascii="宋体" w:hAnsi="宋体"/>
              </w:rPr>
            </w:pPr>
          </w:p>
        </w:tc>
        <w:tc>
          <w:tcPr>
            <w:tcW w:w="793" w:type="dxa"/>
            <w:vMerge/>
          </w:tcPr>
          <w:p w14:paraId="37F3172B" w14:textId="77777777" w:rsidR="00F13EF7" w:rsidRDefault="00F13EF7" w:rsidP="00752AC1">
            <w:pPr>
              <w:spacing w:line="440" w:lineRule="exact"/>
              <w:rPr>
                <w:rFonts w:ascii="宋体" w:hAnsi="宋体"/>
              </w:rPr>
            </w:pPr>
          </w:p>
        </w:tc>
        <w:tc>
          <w:tcPr>
            <w:tcW w:w="804" w:type="dxa"/>
            <w:vMerge/>
          </w:tcPr>
          <w:p w14:paraId="03CCA62A" w14:textId="77777777" w:rsidR="00F13EF7" w:rsidRDefault="00F13EF7" w:rsidP="00752AC1">
            <w:pPr>
              <w:spacing w:line="440" w:lineRule="exact"/>
              <w:rPr>
                <w:rFonts w:ascii="宋体" w:hAnsi="宋体"/>
              </w:rPr>
            </w:pPr>
          </w:p>
        </w:tc>
        <w:tc>
          <w:tcPr>
            <w:tcW w:w="804" w:type="dxa"/>
            <w:vMerge/>
          </w:tcPr>
          <w:p w14:paraId="5D0F4F0E" w14:textId="77777777" w:rsidR="00F13EF7" w:rsidRDefault="00F13EF7" w:rsidP="00752AC1">
            <w:pPr>
              <w:spacing w:line="440" w:lineRule="exact"/>
              <w:rPr>
                <w:rFonts w:ascii="宋体" w:hAnsi="宋体"/>
              </w:rPr>
            </w:pPr>
          </w:p>
        </w:tc>
        <w:tc>
          <w:tcPr>
            <w:tcW w:w="804" w:type="dxa"/>
            <w:vMerge/>
          </w:tcPr>
          <w:p w14:paraId="2F58B5F6" w14:textId="77777777" w:rsidR="00F13EF7" w:rsidRDefault="00F13EF7" w:rsidP="00752AC1">
            <w:pPr>
              <w:spacing w:line="440" w:lineRule="exact"/>
              <w:rPr>
                <w:rFonts w:ascii="宋体" w:hAnsi="宋体"/>
              </w:rPr>
            </w:pPr>
          </w:p>
        </w:tc>
      </w:tr>
      <w:tr w:rsidR="00F13EF7" w14:paraId="6F8EA53E" w14:textId="77777777" w:rsidTr="00752AC1">
        <w:trPr>
          <w:trHeight w:val="435"/>
          <w:jc w:val="center"/>
        </w:trPr>
        <w:tc>
          <w:tcPr>
            <w:tcW w:w="694" w:type="dxa"/>
          </w:tcPr>
          <w:p w14:paraId="109E5190"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24ABACB3"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690D0905"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341FF549" w14:textId="77777777" w:rsidR="00F13EF7" w:rsidRDefault="00F13EF7" w:rsidP="00752AC1">
            <w:pPr>
              <w:spacing w:line="440" w:lineRule="exact"/>
              <w:rPr>
                <w:rFonts w:ascii="宋体" w:hAnsi="宋体"/>
              </w:rPr>
            </w:pPr>
          </w:p>
        </w:tc>
        <w:tc>
          <w:tcPr>
            <w:tcW w:w="850" w:type="dxa"/>
          </w:tcPr>
          <w:p w14:paraId="4911BDA5" w14:textId="77777777" w:rsidR="00F13EF7" w:rsidRDefault="00F13EF7" w:rsidP="00752AC1">
            <w:pPr>
              <w:spacing w:line="440" w:lineRule="exact"/>
              <w:rPr>
                <w:rFonts w:ascii="宋体" w:hAnsi="宋体"/>
              </w:rPr>
            </w:pPr>
          </w:p>
        </w:tc>
        <w:tc>
          <w:tcPr>
            <w:tcW w:w="709" w:type="dxa"/>
          </w:tcPr>
          <w:p w14:paraId="48A551C3" w14:textId="77777777" w:rsidR="00F13EF7" w:rsidRDefault="00F13EF7" w:rsidP="00752AC1">
            <w:pPr>
              <w:spacing w:line="440" w:lineRule="exact"/>
              <w:rPr>
                <w:rFonts w:ascii="宋体" w:hAnsi="宋体"/>
              </w:rPr>
            </w:pPr>
          </w:p>
        </w:tc>
        <w:tc>
          <w:tcPr>
            <w:tcW w:w="712" w:type="dxa"/>
          </w:tcPr>
          <w:p w14:paraId="093E721F" w14:textId="77777777" w:rsidR="00F13EF7" w:rsidRDefault="00F13EF7" w:rsidP="00752AC1">
            <w:pPr>
              <w:spacing w:line="440" w:lineRule="exact"/>
              <w:rPr>
                <w:rFonts w:ascii="宋体" w:hAnsi="宋体"/>
              </w:rPr>
            </w:pPr>
          </w:p>
        </w:tc>
        <w:tc>
          <w:tcPr>
            <w:tcW w:w="629" w:type="dxa"/>
          </w:tcPr>
          <w:p w14:paraId="3BACBF4B"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6D336447"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679AF54C" w14:textId="77777777" w:rsidR="00F13EF7" w:rsidRDefault="00F13EF7" w:rsidP="00752AC1">
            <w:pPr>
              <w:spacing w:line="440" w:lineRule="exact"/>
              <w:rPr>
                <w:rFonts w:ascii="宋体" w:hAnsi="宋体"/>
              </w:rPr>
            </w:pPr>
            <w:r>
              <w:rPr>
                <w:rFonts w:ascii="宋体" w:hAnsi="宋体" w:hint="eastAsia"/>
              </w:rPr>
              <w:t> </w:t>
            </w:r>
          </w:p>
        </w:tc>
        <w:tc>
          <w:tcPr>
            <w:tcW w:w="793" w:type="dxa"/>
            <w:vMerge w:val="restart"/>
          </w:tcPr>
          <w:p w14:paraId="3EC1480A" w14:textId="77777777" w:rsidR="00F13EF7" w:rsidRDefault="00F13EF7" w:rsidP="00752AC1">
            <w:pPr>
              <w:spacing w:line="440" w:lineRule="exact"/>
              <w:rPr>
                <w:rFonts w:ascii="宋体" w:hAnsi="宋体"/>
              </w:rPr>
            </w:pPr>
            <w:r>
              <w:rPr>
                <w:rFonts w:ascii="宋体" w:hAnsi="宋体" w:hint="eastAsia"/>
              </w:rPr>
              <w:t> </w:t>
            </w:r>
          </w:p>
          <w:p w14:paraId="17F582E6" w14:textId="77777777" w:rsidR="00F13EF7" w:rsidRDefault="00F13EF7" w:rsidP="00752AC1">
            <w:pPr>
              <w:spacing w:line="440" w:lineRule="exact"/>
              <w:rPr>
                <w:rFonts w:ascii="宋体" w:hAnsi="宋体"/>
              </w:rPr>
            </w:pPr>
            <w:r>
              <w:rPr>
                <w:rFonts w:ascii="宋体" w:hAnsi="宋体" w:hint="eastAsia"/>
              </w:rPr>
              <w:t> </w:t>
            </w:r>
          </w:p>
          <w:p w14:paraId="40AB6E2C" w14:textId="77777777" w:rsidR="00F13EF7" w:rsidRDefault="00F13EF7" w:rsidP="00752AC1">
            <w:pPr>
              <w:spacing w:line="440" w:lineRule="exact"/>
              <w:rPr>
                <w:rFonts w:ascii="宋体" w:hAnsi="宋体"/>
              </w:rPr>
            </w:pPr>
            <w:r>
              <w:rPr>
                <w:rFonts w:ascii="宋体" w:hAnsi="宋体" w:hint="eastAsia"/>
              </w:rPr>
              <w:t> </w:t>
            </w:r>
          </w:p>
        </w:tc>
        <w:tc>
          <w:tcPr>
            <w:tcW w:w="804" w:type="dxa"/>
            <w:vMerge w:val="restart"/>
          </w:tcPr>
          <w:p w14:paraId="0BAE65CE"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804" w:type="dxa"/>
            <w:vMerge w:val="restart"/>
          </w:tcPr>
          <w:p w14:paraId="3C843ED1"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804" w:type="dxa"/>
            <w:vMerge w:val="restart"/>
          </w:tcPr>
          <w:p w14:paraId="386AAD7F" w14:textId="77777777" w:rsidR="00F13EF7" w:rsidRDefault="00F13EF7" w:rsidP="00752AC1">
            <w:pPr>
              <w:spacing w:line="440" w:lineRule="exact"/>
              <w:rPr>
                <w:rFonts w:ascii="宋体" w:hAnsi="宋体"/>
              </w:rPr>
            </w:pPr>
          </w:p>
        </w:tc>
      </w:tr>
      <w:tr w:rsidR="00F13EF7" w14:paraId="1E557BDE" w14:textId="77777777" w:rsidTr="00752AC1">
        <w:trPr>
          <w:jc w:val="center"/>
        </w:trPr>
        <w:tc>
          <w:tcPr>
            <w:tcW w:w="694" w:type="dxa"/>
          </w:tcPr>
          <w:p w14:paraId="4E663FFF"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3B1F8DF"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1DA557AF"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6B2191CA" w14:textId="77777777" w:rsidR="00F13EF7" w:rsidRDefault="00F13EF7" w:rsidP="00752AC1">
            <w:pPr>
              <w:spacing w:line="440" w:lineRule="exact"/>
              <w:rPr>
                <w:rFonts w:ascii="宋体" w:hAnsi="宋体"/>
              </w:rPr>
            </w:pPr>
          </w:p>
        </w:tc>
        <w:tc>
          <w:tcPr>
            <w:tcW w:w="850" w:type="dxa"/>
          </w:tcPr>
          <w:p w14:paraId="01E2DB96" w14:textId="77777777" w:rsidR="00F13EF7" w:rsidRDefault="00F13EF7" w:rsidP="00752AC1">
            <w:pPr>
              <w:spacing w:line="440" w:lineRule="exact"/>
              <w:rPr>
                <w:rFonts w:ascii="宋体" w:hAnsi="宋体"/>
              </w:rPr>
            </w:pPr>
          </w:p>
        </w:tc>
        <w:tc>
          <w:tcPr>
            <w:tcW w:w="709" w:type="dxa"/>
          </w:tcPr>
          <w:p w14:paraId="770EBDDD" w14:textId="77777777" w:rsidR="00F13EF7" w:rsidRDefault="00F13EF7" w:rsidP="00752AC1">
            <w:pPr>
              <w:spacing w:line="440" w:lineRule="exact"/>
              <w:rPr>
                <w:rFonts w:ascii="宋体" w:hAnsi="宋体"/>
              </w:rPr>
            </w:pPr>
          </w:p>
        </w:tc>
        <w:tc>
          <w:tcPr>
            <w:tcW w:w="712" w:type="dxa"/>
          </w:tcPr>
          <w:p w14:paraId="0B96C638" w14:textId="77777777" w:rsidR="00F13EF7" w:rsidRDefault="00F13EF7" w:rsidP="00752AC1">
            <w:pPr>
              <w:spacing w:line="440" w:lineRule="exact"/>
              <w:rPr>
                <w:rFonts w:ascii="宋体" w:hAnsi="宋体"/>
              </w:rPr>
            </w:pPr>
          </w:p>
        </w:tc>
        <w:tc>
          <w:tcPr>
            <w:tcW w:w="629" w:type="dxa"/>
          </w:tcPr>
          <w:p w14:paraId="323F115C"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3889C70C"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18A5DBEC"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2DF2A7EE" w14:textId="77777777" w:rsidR="00F13EF7" w:rsidRDefault="00F13EF7" w:rsidP="00752AC1">
            <w:pPr>
              <w:spacing w:line="440" w:lineRule="exact"/>
              <w:rPr>
                <w:rFonts w:ascii="宋体" w:hAnsi="宋体"/>
              </w:rPr>
            </w:pPr>
          </w:p>
        </w:tc>
        <w:tc>
          <w:tcPr>
            <w:tcW w:w="804" w:type="dxa"/>
            <w:vMerge/>
          </w:tcPr>
          <w:p w14:paraId="51211BF8" w14:textId="77777777" w:rsidR="00F13EF7" w:rsidRDefault="00F13EF7" w:rsidP="00752AC1">
            <w:pPr>
              <w:spacing w:line="440" w:lineRule="exact"/>
              <w:rPr>
                <w:rFonts w:ascii="宋体" w:hAnsi="宋体"/>
              </w:rPr>
            </w:pPr>
          </w:p>
        </w:tc>
        <w:tc>
          <w:tcPr>
            <w:tcW w:w="804" w:type="dxa"/>
            <w:vMerge/>
          </w:tcPr>
          <w:p w14:paraId="7E3AD002" w14:textId="77777777" w:rsidR="00F13EF7" w:rsidRDefault="00F13EF7" w:rsidP="00752AC1">
            <w:pPr>
              <w:spacing w:line="440" w:lineRule="exact"/>
              <w:rPr>
                <w:rFonts w:ascii="宋体" w:hAnsi="宋体"/>
              </w:rPr>
            </w:pPr>
          </w:p>
        </w:tc>
        <w:tc>
          <w:tcPr>
            <w:tcW w:w="804" w:type="dxa"/>
            <w:vMerge/>
          </w:tcPr>
          <w:p w14:paraId="314AD18A" w14:textId="77777777" w:rsidR="00F13EF7" w:rsidRDefault="00F13EF7" w:rsidP="00752AC1">
            <w:pPr>
              <w:spacing w:line="440" w:lineRule="exact"/>
              <w:rPr>
                <w:rFonts w:ascii="宋体" w:hAnsi="宋体"/>
              </w:rPr>
            </w:pPr>
          </w:p>
        </w:tc>
      </w:tr>
      <w:tr w:rsidR="00F13EF7" w14:paraId="3BC45FA5" w14:textId="77777777" w:rsidTr="00752AC1">
        <w:trPr>
          <w:jc w:val="center"/>
        </w:trPr>
        <w:tc>
          <w:tcPr>
            <w:tcW w:w="694" w:type="dxa"/>
          </w:tcPr>
          <w:p w14:paraId="507DBA3B"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025E4753"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75E2DF1D"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1B9662EF" w14:textId="77777777" w:rsidR="00F13EF7" w:rsidRDefault="00F13EF7" w:rsidP="00752AC1">
            <w:pPr>
              <w:spacing w:line="440" w:lineRule="exact"/>
              <w:rPr>
                <w:rFonts w:ascii="宋体" w:hAnsi="宋体"/>
              </w:rPr>
            </w:pPr>
          </w:p>
        </w:tc>
        <w:tc>
          <w:tcPr>
            <w:tcW w:w="850" w:type="dxa"/>
          </w:tcPr>
          <w:p w14:paraId="735E3DEB" w14:textId="77777777" w:rsidR="00F13EF7" w:rsidRDefault="00F13EF7" w:rsidP="00752AC1">
            <w:pPr>
              <w:spacing w:line="440" w:lineRule="exact"/>
              <w:rPr>
                <w:rFonts w:ascii="宋体" w:hAnsi="宋体"/>
              </w:rPr>
            </w:pPr>
          </w:p>
        </w:tc>
        <w:tc>
          <w:tcPr>
            <w:tcW w:w="709" w:type="dxa"/>
          </w:tcPr>
          <w:p w14:paraId="017A4B13" w14:textId="77777777" w:rsidR="00F13EF7" w:rsidRDefault="00F13EF7" w:rsidP="00752AC1">
            <w:pPr>
              <w:spacing w:line="440" w:lineRule="exact"/>
              <w:rPr>
                <w:rFonts w:ascii="宋体" w:hAnsi="宋体"/>
              </w:rPr>
            </w:pPr>
          </w:p>
        </w:tc>
        <w:tc>
          <w:tcPr>
            <w:tcW w:w="712" w:type="dxa"/>
          </w:tcPr>
          <w:p w14:paraId="4B9EBE31" w14:textId="77777777" w:rsidR="00F13EF7" w:rsidRDefault="00F13EF7" w:rsidP="00752AC1">
            <w:pPr>
              <w:spacing w:line="440" w:lineRule="exact"/>
              <w:rPr>
                <w:rFonts w:ascii="宋体" w:hAnsi="宋体"/>
              </w:rPr>
            </w:pPr>
          </w:p>
        </w:tc>
        <w:tc>
          <w:tcPr>
            <w:tcW w:w="629" w:type="dxa"/>
          </w:tcPr>
          <w:p w14:paraId="23F330AD"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439F17BE"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495EA505"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4EED9838" w14:textId="77777777" w:rsidR="00F13EF7" w:rsidRDefault="00F13EF7" w:rsidP="00752AC1">
            <w:pPr>
              <w:spacing w:line="440" w:lineRule="exact"/>
              <w:rPr>
                <w:rFonts w:ascii="宋体" w:hAnsi="宋体"/>
              </w:rPr>
            </w:pPr>
          </w:p>
        </w:tc>
        <w:tc>
          <w:tcPr>
            <w:tcW w:w="804" w:type="dxa"/>
            <w:vMerge/>
          </w:tcPr>
          <w:p w14:paraId="0BF5694C" w14:textId="77777777" w:rsidR="00F13EF7" w:rsidRDefault="00F13EF7" w:rsidP="00752AC1">
            <w:pPr>
              <w:spacing w:line="440" w:lineRule="exact"/>
              <w:rPr>
                <w:rFonts w:ascii="宋体" w:hAnsi="宋体"/>
              </w:rPr>
            </w:pPr>
          </w:p>
        </w:tc>
        <w:tc>
          <w:tcPr>
            <w:tcW w:w="804" w:type="dxa"/>
            <w:vMerge/>
          </w:tcPr>
          <w:p w14:paraId="60D550FD" w14:textId="77777777" w:rsidR="00F13EF7" w:rsidRDefault="00F13EF7" w:rsidP="00752AC1">
            <w:pPr>
              <w:spacing w:line="440" w:lineRule="exact"/>
              <w:rPr>
                <w:rFonts w:ascii="宋体" w:hAnsi="宋体"/>
              </w:rPr>
            </w:pPr>
          </w:p>
        </w:tc>
        <w:tc>
          <w:tcPr>
            <w:tcW w:w="804" w:type="dxa"/>
            <w:vMerge/>
          </w:tcPr>
          <w:p w14:paraId="7290E594" w14:textId="77777777" w:rsidR="00F13EF7" w:rsidRDefault="00F13EF7" w:rsidP="00752AC1">
            <w:pPr>
              <w:spacing w:line="440" w:lineRule="exact"/>
              <w:rPr>
                <w:rFonts w:ascii="宋体" w:hAnsi="宋体"/>
              </w:rPr>
            </w:pPr>
          </w:p>
        </w:tc>
      </w:tr>
      <w:tr w:rsidR="00F13EF7" w14:paraId="1990468D" w14:textId="77777777" w:rsidTr="00752AC1">
        <w:trPr>
          <w:jc w:val="center"/>
        </w:trPr>
        <w:tc>
          <w:tcPr>
            <w:tcW w:w="694" w:type="dxa"/>
          </w:tcPr>
          <w:p w14:paraId="77960099"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50A1EE9C"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6F4BA86B"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488F13B" w14:textId="77777777" w:rsidR="00F13EF7" w:rsidRDefault="00F13EF7" w:rsidP="00752AC1">
            <w:pPr>
              <w:spacing w:line="440" w:lineRule="exact"/>
              <w:rPr>
                <w:rFonts w:ascii="宋体" w:hAnsi="宋体"/>
              </w:rPr>
            </w:pPr>
          </w:p>
        </w:tc>
        <w:tc>
          <w:tcPr>
            <w:tcW w:w="850" w:type="dxa"/>
          </w:tcPr>
          <w:p w14:paraId="549B2EB0" w14:textId="77777777" w:rsidR="00F13EF7" w:rsidRDefault="00F13EF7" w:rsidP="00752AC1">
            <w:pPr>
              <w:spacing w:line="440" w:lineRule="exact"/>
              <w:rPr>
                <w:rFonts w:ascii="宋体" w:hAnsi="宋体"/>
              </w:rPr>
            </w:pPr>
          </w:p>
        </w:tc>
        <w:tc>
          <w:tcPr>
            <w:tcW w:w="709" w:type="dxa"/>
          </w:tcPr>
          <w:p w14:paraId="605AF000" w14:textId="77777777" w:rsidR="00F13EF7" w:rsidRDefault="00F13EF7" w:rsidP="00752AC1">
            <w:pPr>
              <w:spacing w:line="440" w:lineRule="exact"/>
              <w:rPr>
                <w:rFonts w:ascii="宋体" w:hAnsi="宋体"/>
              </w:rPr>
            </w:pPr>
          </w:p>
        </w:tc>
        <w:tc>
          <w:tcPr>
            <w:tcW w:w="712" w:type="dxa"/>
          </w:tcPr>
          <w:p w14:paraId="1BB61694" w14:textId="77777777" w:rsidR="00F13EF7" w:rsidRDefault="00F13EF7" w:rsidP="00752AC1">
            <w:pPr>
              <w:spacing w:line="440" w:lineRule="exact"/>
              <w:rPr>
                <w:rFonts w:ascii="宋体" w:hAnsi="宋体"/>
              </w:rPr>
            </w:pPr>
          </w:p>
        </w:tc>
        <w:tc>
          <w:tcPr>
            <w:tcW w:w="629" w:type="dxa"/>
          </w:tcPr>
          <w:p w14:paraId="338CF8CB"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42315318"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794DA744"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3316DCF5" w14:textId="77777777" w:rsidR="00F13EF7" w:rsidRDefault="00F13EF7" w:rsidP="00752AC1">
            <w:pPr>
              <w:spacing w:line="440" w:lineRule="exact"/>
              <w:rPr>
                <w:rFonts w:ascii="宋体" w:hAnsi="宋体"/>
              </w:rPr>
            </w:pPr>
          </w:p>
        </w:tc>
        <w:tc>
          <w:tcPr>
            <w:tcW w:w="804" w:type="dxa"/>
            <w:vMerge/>
          </w:tcPr>
          <w:p w14:paraId="0F276339" w14:textId="77777777" w:rsidR="00F13EF7" w:rsidRDefault="00F13EF7" w:rsidP="00752AC1">
            <w:pPr>
              <w:spacing w:line="440" w:lineRule="exact"/>
              <w:rPr>
                <w:rFonts w:ascii="宋体" w:hAnsi="宋体"/>
              </w:rPr>
            </w:pPr>
          </w:p>
        </w:tc>
        <w:tc>
          <w:tcPr>
            <w:tcW w:w="804" w:type="dxa"/>
            <w:vMerge/>
          </w:tcPr>
          <w:p w14:paraId="7516285E" w14:textId="77777777" w:rsidR="00F13EF7" w:rsidRDefault="00F13EF7" w:rsidP="00752AC1">
            <w:pPr>
              <w:spacing w:line="440" w:lineRule="exact"/>
              <w:rPr>
                <w:rFonts w:ascii="宋体" w:hAnsi="宋体"/>
              </w:rPr>
            </w:pPr>
          </w:p>
        </w:tc>
        <w:tc>
          <w:tcPr>
            <w:tcW w:w="804" w:type="dxa"/>
            <w:vMerge/>
          </w:tcPr>
          <w:p w14:paraId="6E1793DC" w14:textId="77777777" w:rsidR="00F13EF7" w:rsidRDefault="00F13EF7" w:rsidP="00752AC1">
            <w:pPr>
              <w:spacing w:line="440" w:lineRule="exact"/>
              <w:rPr>
                <w:rFonts w:ascii="宋体" w:hAnsi="宋体"/>
              </w:rPr>
            </w:pPr>
          </w:p>
        </w:tc>
      </w:tr>
      <w:tr w:rsidR="00F13EF7" w14:paraId="71050511" w14:textId="77777777" w:rsidTr="00752AC1">
        <w:trPr>
          <w:jc w:val="center"/>
        </w:trPr>
        <w:tc>
          <w:tcPr>
            <w:tcW w:w="694" w:type="dxa"/>
          </w:tcPr>
          <w:p w14:paraId="4EEF4ACA"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D1510BB"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3C2FBE9C"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0EB03700" w14:textId="77777777" w:rsidR="00F13EF7" w:rsidRDefault="00F13EF7" w:rsidP="00752AC1">
            <w:pPr>
              <w:spacing w:line="440" w:lineRule="exact"/>
              <w:rPr>
                <w:rFonts w:ascii="宋体" w:hAnsi="宋体"/>
              </w:rPr>
            </w:pPr>
          </w:p>
        </w:tc>
        <w:tc>
          <w:tcPr>
            <w:tcW w:w="850" w:type="dxa"/>
          </w:tcPr>
          <w:p w14:paraId="193AA3B0" w14:textId="77777777" w:rsidR="00F13EF7" w:rsidRDefault="00F13EF7" w:rsidP="00752AC1">
            <w:pPr>
              <w:spacing w:line="440" w:lineRule="exact"/>
              <w:rPr>
                <w:rFonts w:ascii="宋体" w:hAnsi="宋体"/>
              </w:rPr>
            </w:pPr>
          </w:p>
        </w:tc>
        <w:tc>
          <w:tcPr>
            <w:tcW w:w="709" w:type="dxa"/>
          </w:tcPr>
          <w:p w14:paraId="79A6629D" w14:textId="77777777" w:rsidR="00F13EF7" w:rsidRDefault="00F13EF7" w:rsidP="00752AC1">
            <w:pPr>
              <w:spacing w:line="440" w:lineRule="exact"/>
              <w:rPr>
                <w:rFonts w:ascii="宋体" w:hAnsi="宋体"/>
              </w:rPr>
            </w:pPr>
          </w:p>
        </w:tc>
        <w:tc>
          <w:tcPr>
            <w:tcW w:w="712" w:type="dxa"/>
          </w:tcPr>
          <w:p w14:paraId="7F220C67" w14:textId="77777777" w:rsidR="00F13EF7" w:rsidRDefault="00F13EF7" w:rsidP="00752AC1">
            <w:pPr>
              <w:spacing w:line="440" w:lineRule="exact"/>
              <w:rPr>
                <w:rFonts w:ascii="宋体" w:hAnsi="宋体"/>
              </w:rPr>
            </w:pPr>
          </w:p>
        </w:tc>
        <w:tc>
          <w:tcPr>
            <w:tcW w:w="629" w:type="dxa"/>
          </w:tcPr>
          <w:p w14:paraId="5842D6DC"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1739911D"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1680BB30"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6399D602" w14:textId="77777777" w:rsidR="00F13EF7" w:rsidRDefault="00F13EF7" w:rsidP="00752AC1">
            <w:pPr>
              <w:spacing w:line="440" w:lineRule="exact"/>
              <w:rPr>
                <w:rFonts w:ascii="宋体" w:hAnsi="宋体"/>
              </w:rPr>
            </w:pPr>
          </w:p>
        </w:tc>
        <w:tc>
          <w:tcPr>
            <w:tcW w:w="804" w:type="dxa"/>
            <w:vMerge/>
          </w:tcPr>
          <w:p w14:paraId="1FB40610" w14:textId="77777777" w:rsidR="00F13EF7" w:rsidRDefault="00F13EF7" w:rsidP="00752AC1">
            <w:pPr>
              <w:spacing w:line="440" w:lineRule="exact"/>
              <w:rPr>
                <w:rFonts w:ascii="宋体" w:hAnsi="宋体"/>
              </w:rPr>
            </w:pPr>
          </w:p>
        </w:tc>
        <w:tc>
          <w:tcPr>
            <w:tcW w:w="804" w:type="dxa"/>
            <w:vMerge/>
          </w:tcPr>
          <w:p w14:paraId="5859468A" w14:textId="77777777" w:rsidR="00F13EF7" w:rsidRDefault="00F13EF7" w:rsidP="00752AC1">
            <w:pPr>
              <w:spacing w:line="440" w:lineRule="exact"/>
              <w:rPr>
                <w:rFonts w:ascii="宋体" w:hAnsi="宋体"/>
              </w:rPr>
            </w:pPr>
          </w:p>
        </w:tc>
        <w:tc>
          <w:tcPr>
            <w:tcW w:w="804" w:type="dxa"/>
            <w:vMerge/>
          </w:tcPr>
          <w:p w14:paraId="73F3F4D8" w14:textId="77777777" w:rsidR="00F13EF7" w:rsidRDefault="00F13EF7" w:rsidP="00752AC1">
            <w:pPr>
              <w:spacing w:line="440" w:lineRule="exact"/>
              <w:rPr>
                <w:rFonts w:ascii="宋体" w:hAnsi="宋体"/>
              </w:rPr>
            </w:pPr>
          </w:p>
        </w:tc>
      </w:tr>
      <w:tr w:rsidR="00F13EF7" w14:paraId="3538682F" w14:textId="77777777" w:rsidTr="00752AC1">
        <w:trPr>
          <w:trHeight w:val="225"/>
          <w:jc w:val="center"/>
        </w:trPr>
        <w:tc>
          <w:tcPr>
            <w:tcW w:w="694" w:type="dxa"/>
          </w:tcPr>
          <w:p w14:paraId="68A04E17"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68E0BE5E"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10F3F936"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7AAC5705" w14:textId="77777777" w:rsidR="00F13EF7" w:rsidRDefault="00F13EF7" w:rsidP="00752AC1">
            <w:pPr>
              <w:spacing w:line="440" w:lineRule="exact"/>
              <w:rPr>
                <w:rFonts w:ascii="宋体" w:hAnsi="宋体"/>
              </w:rPr>
            </w:pPr>
          </w:p>
        </w:tc>
        <w:tc>
          <w:tcPr>
            <w:tcW w:w="850" w:type="dxa"/>
          </w:tcPr>
          <w:p w14:paraId="409342D1" w14:textId="77777777" w:rsidR="00F13EF7" w:rsidRDefault="00F13EF7" w:rsidP="00752AC1">
            <w:pPr>
              <w:spacing w:line="440" w:lineRule="exact"/>
              <w:rPr>
                <w:rFonts w:ascii="宋体" w:hAnsi="宋体"/>
              </w:rPr>
            </w:pPr>
          </w:p>
        </w:tc>
        <w:tc>
          <w:tcPr>
            <w:tcW w:w="709" w:type="dxa"/>
          </w:tcPr>
          <w:p w14:paraId="6C772A42" w14:textId="77777777" w:rsidR="00F13EF7" w:rsidRDefault="00F13EF7" w:rsidP="00752AC1">
            <w:pPr>
              <w:spacing w:line="440" w:lineRule="exact"/>
              <w:rPr>
                <w:rFonts w:ascii="宋体" w:hAnsi="宋体"/>
              </w:rPr>
            </w:pPr>
          </w:p>
        </w:tc>
        <w:tc>
          <w:tcPr>
            <w:tcW w:w="712" w:type="dxa"/>
          </w:tcPr>
          <w:p w14:paraId="329D1A1E" w14:textId="77777777" w:rsidR="00F13EF7" w:rsidRDefault="00F13EF7" w:rsidP="00752AC1">
            <w:pPr>
              <w:spacing w:line="440" w:lineRule="exact"/>
              <w:rPr>
                <w:rFonts w:ascii="宋体" w:hAnsi="宋体"/>
              </w:rPr>
            </w:pPr>
          </w:p>
        </w:tc>
        <w:tc>
          <w:tcPr>
            <w:tcW w:w="629" w:type="dxa"/>
          </w:tcPr>
          <w:p w14:paraId="4FFFB95A"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2076A456"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028B4DA3"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352E2A40" w14:textId="77777777" w:rsidR="00F13EF7" w:rsidRDefault="00F13EF7" w:rsidP="00752AC1">
            <w:pPr>
              <w:spacing w:line="440" w:lineRule="exact"/>
              <w:rPr>
                <w:rFonts w:ascii="宋体" w:hAnsi="宋体"/>
              </w:rPr>
            </w:pPr>
          </w:p>
        </w:tc>
        <w:tc>
          <w:tcPr>
            <w:tcW w:w="804" w:type="dxa"/>
            <w:vMerge/>
          </w:tcPr>
          <w:p w14:paraId="4717B065" w14:textId="77777777" w:rsidR="00F13EF7" w:rsidRDefault="00F13EF7" w:rsidP="00752AC1">
            <w:pPr>
              <w:spacing w:line="440" w:lineRule="exact"/>
              <w:rPr>
                <w:rFonts w:ascii="宋体" w:hAnsi="宋体"/>
              </w:rPr>
            </w:pPr>
          </w:p>
        </w:tc>
        <w:tc>
          <w:tcPr>
            <w:tcW w:w="804" w:type="dxa"/>
            <w:vMerge/>
          </w:tcPr>
          <w:p w14:paraId="72D6E6AF" w14:textId="77777777" w:rsidR="00F13EF7" w:rsidRDefault="00F13EF7" w:rsidP="00752AC1">
            <w:pPr>
              <w:spacing w:line="440" w:lineRule="exact"/>
              <w:rPr>
                <w:rFonts w:ascii="宋体" w:hAnsi="宋体"/>
              </w:rPr>
            </w:pPr>
          </w:p>
        </w:tc>
        <w:tc>
          <w:tcPr>
            <w:tcW w:w="804" w:type="dxa"/>
            <w:vMerge/>
          </w:tcPr>
          <w:p w14:paraId="395CB92B" w14:textId="77777777" w:rsidR="00F13EF7" w:rsidRDefault="00F13EF7" w:rsidP="00752AC1">
            <w:pPr>
              <w:spacing w:line="440" w:lineRule="exact"/>
              <w:rPr>
                <w:rFonts w:ascii="宋体" w:hAnsi="宋体"/>
              </w:rPr>
            </w:pPr>
          </w:p>
        </w:tc>
      </w:tr>
      <w:tr w:rsidR="00F13EF7" w14:paraId="2C32F61B" w14:textId="77777777" w:rsidTr="00752AC1">
        <w:trPr>
          <w:trHeight w:val="225"/>
          <w:jc w:val="center"/>
        </w:trPr>
        <w:tc>
          <w:tcPr>
            <w:tcW w:w="694" w:type="dxa"/>
          </w:tcPr>
          <w:p w14:paraId="5001AA71" w14:textId="77777777" w:rsidR="00F13EF7" w:rsidRDefault="00F13EF7" w:rsidP="00752AC1">
            <w:pPr>
              <w:spacing w:line="440" w:lineRule="exact"/>
              <w:rPr>
                <w:rFonts w:ascii="宋体" w:hAnsi="宋体"/>
              </w:rPr>
            </w:pPr>
            <w:r>
              <w:rPr>
                <w:rFonts w:ascii="宋体" w:hAnsi="宋体" w:hint="eastAsia"/>
              </w:rPr>
              <w:t>合计</w:t>
            </w:r>
          </w:p>
        </w:tc>
        <w:tc>
          <w:tcPr>
            <w:tcW w:w="851" w:type="dxa"/>
          </w:tcPr>
          <w:p w14:paraId="6AF482F2"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41506C35"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554157B" w14:textId="77777777" w:rsidR="00F13EF7" w:rsidRDefault="00F13EF7" w:rsidP="00752AC1">
            <w:pPr>
              <w:spacing w:line="440" w:lineRule="exact"/>
              <w:rPr>
                <w:rFonts w:ascii="宋体" w:hAnsi="宋体"/>
              </w:rPr>
            </w:pPr>
          </w:p>
        </w:tc>
        <w:tc>
          <w:tcPr>
            <w:tcW w:w="850" w:type="dxa"/>
          </w:tcPr>
          <w:p w14:paraId="45C8DC8F" w14:textId="77777777" w:rsidR="00F13EF7" w:rsidRDefault="00F13EF7" w:rsidP="00752AC1">
            <w:pPr>
              <w:spacing w:line="440" w:lineRule="exact"/>
              <w:rPr>
                <w:rFonts w:ascii="宋体" w:hAnsi="宋体"/>
              </w:rPr>
            </w:pPr>
          </w:p>
        </w:tc>
        <w:tc>
          <w:tcPr>
            <w:tcW w:w="709" w:type="dxa"/>
          </w:tcPr>
          <w:p w14:paraId="45C241BA" w14:textId="77777777" w:rsidR="00F13EF7" w:rsidRDefault="00F13EF7" w:rsidP="00752AC1">
            <w:pPr>
              <w:spacing w:line="440" w:lineRule="exact"/>
              <w:rPr>
                <w:rFonts w:ascii="宋体" w:hAnsi="宋体"/>
              </w:rPr>
            </w:pPr>
          </w:p>
        </w:tc>
        <w:tc>
          <w:tcPr>
            <w:tcW w:w="712" w:type="dxa"/>
          </w:tcPr>
          <w:p w14:paraId="48604600" w14:textId="77777777" w:rsidR="00F13EF7" w:rsidRDefault="00F13EF7" w:rsidP="00752AC1">
            <w:pPr>
              <w:spacing w:line="440" w:lineRule="exact"/>
              <w:rPr>
                <w:rFonts w:ascii="宋体" w:hAnsi="宋体"/>
              </w:rPr>
            </w:pPr>
          </w:p>
        </w:tc>
        <w:tc>
          <w:tcPr>
            <w:tcW w:w="629" w:type="dxa"/>
          </w:tcPr>
          <w:p w14:paraId="306A4824"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785E5442"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55D3573E"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27C6DBB0" w14:textId="77777777" w:rsidR="00F13EF7" w:rsidRDefault="00F13EF7" w:rsidP="00752AC1">
            <w:pPr>
              <w:spacing w:line="440" w:lineRule="exact"/>
              <w:rPr>
                <w:rFonts w:ascii="宋体" w:hAnsi="宋体"/>
              </w:rPr>
            </w:pPr>
          </w:p>
        </w:tc>
        <w:tc>
          <w:tcPr>
            <w:tcW w:w="804" w:type="dxa"/>
            <w:vMerge/>
          </w:tcPr>
          <w:p w14:paraId="12E6B393" w14:textId="77777777" w:rsidR="00F13EF7" w:rsidRDefault="00F13EF7" w:rsidP="00752AC1">
            <w:pPr>
              <w:spacing w:line="440" w:lineRule="exact"/>
              <w:rPr>
                <w:rFonts w:ascii="宋体" w:hAnsi="宋体"/>
              </w:rPr>
            </w:pPr>
          </w:p>
        </w:tc>
        <w:tc>
          <w:tcPr>
            <w:tcW w:w="804" w:type="dxa"/>
            <w:vMerge/>
          </w:tcPr>
          <w:p w14:paraId="3783D091" w14:textId="77777777" w:rsidR="00F13EF7" w:rsidRDefault="00F13EF7" w:rsidP="00752AC1">
            <w:pPr>
              <w:spacing w:line="440" w:lineRule="exact"/>
              <w:rPr>
                <w:rFonts w:ascii="宋体" w:hAnsi="宋体"/>
              </w:rPr>
            </w:pPr>
          </w:p>
        </w:tc>
        <w:tc>
          <w:tcPr>
            <w:tcW w:w="804" w:type="dxa"/>
            <w:vMerge/>
          </w:tcPr>
          <w:p w14:paraId="56E50D10" w14:textId="77777777" w:rsidR="00F13EF7" w:rsidRDefault="00F13EF7" w:rsidP="00752AC1">
            <w:pPr>
              <w:spacing w:line="440" w:lineRule="exact"/>
              <w:rPr>
                <w:rFonts w:ascii="宋体" w:hAnsi="宋体"/>
              </w:rPr>
            </w:pPr>
          </w:p>
        </w:tc>
      </w:tr>
      <w:tr w:rsidR="00F13EF7" w14:paraId="5AF0E7F7" w14:textId="77777777" w:rsidTr="00752AC1">
        <w:trPr>
          <w:trHeight w:val="990"/>
          <w:jc w:val="center"/>
        </w:trPr>
        <w:tc>
          <w:tcPr>
            <w:tcW w:w="694" w:type="dxa"/>
          </w:tcPr>
          <w:p w14:paraId="3A1834BD" w14:textId="77777777" w:rsidR="00F13EF7" w:rsidRDefault="00F13EF7" w:rsidP="00752AC1">
            <w:pPr>
              <w:spacing w:line="440" w:lineRule="exact"/>
              <w:rPr>
                <w:rFonts w:ascii="宋体" w:hAnsi="宋体"/>
              </w:rPr>
            </w:pPr>
            <w:r>
              <w:rPr>
                <w:rFonts w:ascii="宋体" w:hAnsi="宋体" w:hint="eastAsia"/>
              </w:rPr>
              <w:t>资金来源说明</w:t>
            </w:r>
          </w:p>
        </w:tc>
        <w:tc>
          <w:tcPr>
            <w:tcW w:w="10134" w:type="dxa"/>
            <w:gridSpan w:val="13"/>
          </w:tcPr>
          <w:p w14:paraId="4DAC02B6" w14:textId="77777777" w:rsidR="00F13EF7" w:rsidRDefault="00F13EF7" w:rsidP="00752AC1">
            <w:pPr>
              <w:spacing w:line="440" w:lineRule="exact"/>
              <w:rPr>
                <w:rFonts w:ascii="宋体" w:hAnsi="宋体"/>
              </w:rPr>
            </w:pPr>
            <w:r>
              <w:rPr>
                <w:rFonts w:ascii="宋体" w:hAnsi="宋体" w:hint="eastAsia"/>
              </w:rPr>
              <w:t> </w:t>
            </w:r>
          </w:p>
        </w:tc>
      </w:tr>
      <w:tr w:rsidR="00F13EF7" w14:paraId="2A9E9F54" w14:textId="77777777" w:rsidTr="00752AC1">
        <w:trPr>
          <w:trHeight w:val="990"/>
          <w:jc w:val="center"/>
        </w:trPr>
        <w:tc>
          <w:tcPr>
            <w:tcW w:w="694" w:type="dxa"/>
          </w:tcPr>
          <w:p w14:paraId="66FFE57D" w14:textId="77777777" w:rsidR="00F13EF7" w:rsidRDefault="00F13EF7" w:rsidP="00752AC1">
            <w:pPr>
              <w:spacing w:line="440" w:lineRule="exact"/>
              <w:rPr>
                <w:rFonts w:ascii="宋体" w:hAnsi="宋体"/>
              </w:rPr>
            </w:pPr>
            <w:r>
              <w:rPr>
                <w:rFonts w:ascii="宋体" w:hAnsi="宋体" w:hint="eastAsia"/>
              </w:rPr>
              <w:t>会员单位意见</w:t>
            </w:r>
          </w:p>
        </w:tc>
        <w:tc>
          <w:tcPr>
            <w:tcW w:w="10134" w:type="dxa"/>
            <w:gridSpan w:val="13"/>
          </w:tcPr>
          <w:p w14:paraId="0213E8CC" w14:textId="77777777" w:rsidR="00F13EF7" w:rsidRDefault="00F13EF7" w:rsidP="00752AC1">
            <w:pPr>
              <w:spacing w:line="440" w:lineRule="exact"/>
              <w:rPr>
                <w:rFonts w:ascii="宋体" w:hAnsi="宋体"/>
              </w:rPr>
            </w:pPr>
            <w:r>
              <w:rPr>
                <w:rFonts w:ascii="宋体" w:hAnsi="宋体" w:hint="eastAsia"/>
              </w:rPr>
              <w:t xml:space="preserve">　</w:t>
            </w:r>
          </w:p>
          <w:p w14:paraId="50D67B4D" w14:textId="77777777" w:rsidR="00F13EF7" w:rsidRDefault="00F13EF7" w:rsidP="00752AC1">
            <w:pPr>
              <w:spacing w:line="440" w:lineRule="exact"/>
              <w:rPr>
                <w:rFonts w:ascii="宋体" w:hAnsi="宋体"/>
              </w:rPr>
            </w:pPr>
            <w:r>
              <w:rPr>
                <w:rFonts w:ascii="宋体" w:hAnsi="宋体" w:hint="eastAsia"/>
              </w:rPr>
              <w:t xml:space="preserve">　</w:t>
            </w:r>
          </w:p>
          <w:p w14:paraId="4F4524B9" w14:textId="77777777" w:rsidR="00F13EF7" w:rsidRDefault="00F13EF7" w:rsidP="00752AC1">
            <w:pPr>
              <w:spacing w:line="440" w:lineRule="exact"/>
              <w:rPr>
                <w:rFonts w:ascii="宋体" w:hAnsi="宋体"/>
              </w:rPr>
            </w:pPr>
            <w:r>
              <w:rPr>
                <w:rFonts w:ascii="宋体" w:hAnsi="宋体" w:hint="eastAsia"/>
              </w:rPr>
              <w:t>会员单位盖章：                            负责人签字：                          年   月   日</w:t>
            </w:r>
          </w:p>
        </w:tc>
      </w:tr>
      <w:tr w:rsidR="00F13EF7" w14:paraId="107E5284" w14:textId="77777777" w:rsidTr="00752AC1">
        <w:trPr>
          <w:trHeight w:val="810"/>
          <w:jc w:val="center"/>
        </w:trPr>
        <w:tc>
          <w:tcPr>
            <w:tcW w:w="694" w:type="dxa"/>
          </w:tcPr>
          <w:p w14:paraId="2253365B" w14:textId="77777777" w:rsidR="00F13EF7" w:rsidRDefault="00F13EF7" w:rsidP="00752AC1">
            <w:pPr>
              <w:spacing w:line="440" w:lineRule="exact"/>
              <w:rPr>
                <w:rFonts w:ascii="宋体" w:hAnsi="宋体"/>
              </w:rPr>
            </w:pPr>
            <w:r>
              <w:rPr>
                <w:rFonts w:ascii="宋体" w:hAnsi="宋体" w:hint="eastAsia"/>
              </w:rPr>
              <w:t xml:space="preserve">交易所 </w:t>
            </w:r>
          </w:p>
          <w:p w14:paraId="6D58F68E" w14:textId="77777777" w:rsidR="00F13EF7" w:rsidRDefault="00F13EF7" w:rsidP="00752AC1">
            <w:pPr>
              <w:spacing w:line="440" w:lineRule="exact"/>
              <w:rPr>
                <w:rFonts w:ascii="宋体" w:hAnsi="宋体"/>
              </w:rPr>
            </w:pPr>
            <w:r>
              <w:rPr>
                <w:rFonts w:ascii="宋体" w:hAnsi="宋体" w:hint="eastAsia"/>
              </w:rPr>
              <w:t>意见</w:t>
            </w:r>
          </w:p>
        </w:tc>
        <w:tc>
          <w:tcPr>
            <w:tcW w:w="10134" w:type="dxa"/>
            <w:gridSpan w:val="13"/>
          </w:tcPr>
          <w:p w14:paraId="08F799F4" w14:textId="77777777" w:rsidR="00F13EF7" w:rsidRDefault="00F13EF7" w:rsidP="00752AC1">
            <w:pPr>
              <w:spacing w:line="440" w:lineRule="exact"/>
              <w:rPr>
                <w:rFonts w:ascii="宋体" w:hAnsi="宋体"/>
              </w:rPr>
            </w:pPr>
            <w:r>
              <w:rPr>
                <w:rFonts w:ascii="宋体" w:hAnsi="宋体" w:hint="eastAsia"/>
              </w:rPr>
              <w:t xml:space="preserve">　　</w:t>
            </w:r>
          </w:p>
          <w:p w14:paraId="1DD9DC91" w14:textId="77777777" w:rsidR="00F13EF7" w:rsidRDefault="00F13EF7" w:rsidP="00752AC1">
            <w:pPr>
              <w:spacing w:line="440" w:lineRule="exact"/>
              <w:rPr>
                <w:rFonts w:ascii="宋体" w:hAnsi="宋体"/>
              </w:rPr>
            </w:pPr>
          </w:p>
          <w:p w14:paraId="49EF5F9F" w14:textId="77777777" w:rsidR="00F13EF7" w:rsidRDefault="00F13EF7" w:rsidP="00752AC1">
            <w:pPr>
              <w:spacing w:line="440" w:lineRule="exact"/>
              <w:rPr>
                <w:rFonts w:ascii="宋体" w:hAnsi="宋体"/>
              </w:rPr>
            </w:pPr>
          </w:p>
          <w:p w14:paraId="7F343265" w14:textId="77777777" w:rsidR="00F13EF7" w:rsidRDefault="00F13EF7" w:rsidP="00752AC1">
            <w:pPr>
              <w:spacing w:line="440" w:lineRule="exact"/>
              <w:rPr>
                <w:rFonts w:ascii="宋体" w:hAnsi="宋体"/>
              </w:rPr>
            </w:pPr>
            <w:r>
              <w:rPr>
                <w:rFonts w:ascii="宋体" w:hAnsi="宋体" w:hint="eastAsia"/>
              </w:rPr>
              <w:t xml:space="preserve">交易所盖章：                              负责人签字：                          </w:t>
            </w:r>
            <w:r>
              <w:rPr>
                <w:rFonts w:ascii="宋体" w:hAnsi="宋体"/>
              </w:rPr>
              <w:t xml:space="preserve"> </w:t>
            </w:r>
            <w:r>
              <w:rPr>
                <w:rFonts w:ascii="宋体" w:hAnsi="宋体" w:hint="eastAsia"/>
              </w:rPr>
              <w:t>年   月   日</w:t>
            </w:r>
          </w:p>
        </w:tc>
      </w:tr>
    </w:tbl>
    <w:p w14:paraId="59305550" w14:textId="77777777" w:rsidR="00F13EF7" w:rsidRDefault="00F13EF7" w:rsidP="00F13EF7">
      <w:pPr>
        <w:sectPr w:rsidR="00F13EF7">
          <w:pgSz w:w="11906" w:h="16838"/>
          <w:pgMar w:top="1440" w:right="1800" w:bottom="1440" w:left="1800" w:header="851" w:footer="992" w:gutter="0"/>
          <w:cols w:space="425"/>
          <w:docGrid w:type="lines" w:linePitch="312"/>
        </w:sectPr>
      </w:pPr>
    </w:p>
    <w:p w14:paraId="455EF710" w14:textId="70B49743" w:rsidR="00F13EF7" w:rsidRDefault="00F13EF7" w:rsidP="00F13EF7">
      <w:pPr>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lastRenderedPageBreak/>
        <w:t>附件3：</w:t>
      </w:r>
    </w:p>
    <w:p w14:paraId="6738F1BC" w14:textId="77777777" w:rsidR="00F13EF7" w:rsidRDefault="00F13EF7" w:rsidP="00F13EF7">
      <w:pPr>
        <w:jc w:val="center"/>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大连商品交易所客户大户报告表</w:t>
      </w:r>
    </w:p>
    <w:p w14:paraId="0E9E99BC" w14:textId="77777777" w:rsidR="00F13EF7" w:rsidRDefault="00F13EF7" w:rsidP="00F13EF7">
      <w:pPr>
        <w:spacing w:line="440" w:lineRule="exact"/>
        <w:rPr>
          <w:rFonts w:ascii="宋体" w:hAnsi="宋体"/>
        </w:rPr>
      </w:pPr>
      <w:r>
        <w:rPr>
          <w:rFonts w:ascii="宋体" w:hAnsi="宋体" w:hint="eastAsia"/>
        </w:rPr>
        <w:t xml:space="preserve">会员名称：       会员编号：                                    年   月   日 </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70"/>
        <w:gridCol w:w="767"/>
        <w:gridCol w:w="794"/>
        <w:gridCol w:w="779"/>
        <w:gridCol w:w="709"/>
        <w:gridCol w:w="670"/>
        <w:gridCol w:w="669"/>
        <w:gridCol w:w="720"/>
        <w:gridCol w:w="603"/>
        <w:gridCol w:w="854"/>
        <w:gridCol w:w="689"/>
        <w:gridCol w:w="705"/>
        <w:gridCol w:w="705"/>
        <w:gridCol w:w="710"/>
      </w:tblGrid>
      <w:tr w:rsidR="00F13EF7" w14:paraId="2660D237" w14:textId="77777777" w:rsidTr="00752AC1">
        <w:trPr>
          <w:trHeight w:val="403"/>
          <w:jc w:val="center"/>
        </w:trPr>
        <w:tc>
          <w:tcPr>
            <w:tcW w:w="646" w:type="dxa"/>
            <w:vMerge w:val="restart"/>
          </w:tcPr>
          <w:p w14:paraId="757C6C01" w14:textId="77777777" w:rsidR="00F13EF7" w:rsidRDefault="00F13EF7" w:rsidP="00752AC1">
            <w:pPr>
              <w:spacing w:line="440" w:lineRule="exact"/>
              <w:jc w:val="center"/>
              <w:rPr>
                <w:rFonts w:ascii="宋体" w:hAnsi="宋体"/>
              </w:rPr>
            </w:pPr>
            <w:r>
              <w:rPr>
                <w:rFonts w:ascii="宋体" w:hAnsi="宋体" w:hint="eastAsia"/>
              </w:rPr>
              <w:t>客户名称</w:t>
            </w:r>
          </w:p>
        </w:tc>
        <w:tc>
          <w:tcPr>
            <w:tcW w:w="670" w:type="dxa"/>
            <w:vMerge w:val="restart"/>
          </w:tcPr>
          <w:p w14:paraId="414850BC" w14:textId="77777777" w:rsidR="00F13EF7" w:rsidRDefault="00F13EF7" w:rsidP="00752AC1">
            <w:pPr>
              <w:spacing w:line="440" w:lineRule="exact"/>
              <w:jc w:val="center"/>
              <w:rPr>
                <w:rFonts w:ascii="宋体" w:hAnsi="宋体"/>
              </w:rPr>
            </w:pPr>
            <w:r>
              <w:rPr>
                <w:rFonts w:ascii="宋体" w:hAnsi="宋体" w:hint="eastAsia"/>
              </w:rPr>
              <w:t>客户编码</w:t>
            </w:r>
          </w:p>
        </w:tc>
        <w:tc>
          <w:tcPr>
            <w:tcW w:w="767" w:type="dxa"/>
            <w:vMerge w:val="restart"/>
          </w:tcPr>
          <w:p w14:paraId="0E4E0535" w14:textId="77777777" w:rsidR="00F13EF7" w:rsidRDefault="00F13EF7" w:rsidP="00752AC1">
            <w:pPr>
              <w:spacing w:line="440" w:lineRule="exact"/>
              <w:jc w:val="center"/>
              <w:rPr>
                <w:rFonts w:ascii="宋体" w:hAnsi="宋体"/>
              </w:rPr>
            </w:pPr>
            <w:r>
              <w:rPr>
                <w:rFonts w:ascii="宋体" w:hAnsi="宋体" w:hint="eastAsia"/>
              </w:rPr>
              <w:t>合约代码</w:t>
            </w:r>
          </w:p>
        </w:tc>
        <w:tc>
          <w:tcPr>
            <w:tcW w:w="1573" w:type="dxa"/>
            <w:gridSpan w:val="2"/>
          </w:tcPr>
          <w:p w14:paraId="622A6B9D" w14:textId="77777777" w:rsidR="00F13EF7" w:rsidRDefault="00F13EF7" w:rsidP="00752AC1">
            <w:pPr>
              <w:spacing w:line="440" w:lineRule="exact"/>
              <w:jc w:val="center"/>
              <w:rPr>
                <w:rFonts w:ascii="宋体" w:hAnsi="宋体"/>
              </w:rPr>
            </w:pPr>
            <w:r>
              <w:rPr>
                <w:rFonts w:ascii="宋体" w:hAnsi="宋体" w:hint="eastAsia"/>
              </w:rPr>
              <w:t>期货合约</w:t>
            </w:r>
          </w:p>
        </w:tc>
        <w:tc>
          <w:tcPr>
            <w:tcW w:w="2768" w:type="dxa"/>
            <w:gridSpan w:val="4"/>
          </w:tcPr>
          <w:p w14:paraId="106F4A11" w14:textId="77777777" w:rsidR="00F13EF7" w:rsidRDefault="00F13EF7" w:rsidP="00752AC1">
            <w:pPr>
              <w:spacing w:line="440" w:lineRule="exact"/>
              <w:jc w:val="center"/>
              <w:rPr>
                <w:rFonts w:ascii="宋体" w:hAnsi="宋体"/>
              </w:rPr>
            </w:pPr>
            <w:r>
              <w:rPr>
                <w:rFonts w:ascii="宋体" w:hAnsi="宋体" w:hint="eastAsia"/>
              </w:rPr>
              <w:t>期权合约</w:t>
            </w:r>
          </w:p>
        </w:tc>
        <w:tc>
          <w:tcPr>
            <w:tcW w:w="603" w:type="dxa"/>
            <w:vMerge w:val="restart"/>
          </w:tcPr>
          <w:p w14:paraId="18793476" w14:textId="77777777" w:rsidR="00F13EF7" w:rsidRDefault="00F13EF7" w:rsidP="00752AC1">
            <w:pPr>
              <w:spacing w:line="440" w:lineRule="exact"/>
              <w:jc w:val="center"/>
              <w:rPr>
                <w:rFonts w:ascii="宋体" w:hAnsi="宋体"/>
              </w:rPr>
            </w:pPr>
            <w:r>
              <w:rPr>
                <w:rFonts w:ascii="宋体" w:hAnsi="宋体" w:hint="eastAsia"/>
              </w:rPr>
              <w:t>建仓时间</w:t>
            </w:r>
          </w:p>
        </w:tc>
        <w:tc>
          <w:tcPr>
            <w:tcW w:w="854" w:type="dxa"/>
            <w:vMerge w:val="restart"/>
          </w:tcPr>
          <w:p w14:paraId="7CDE54E0" w14:textId="77777777" w:rsidR="00F13EF7" w:rsidRDefault="00F13EF7" w:rsidP="00752AC1">
            <w:pPr>
              <w:spacing w:line="440" w:lineRule="exact"/>
              <w:jc w:val="center"/>
              <w:rPr>
                <w:rFonts w:ascii="宋体" w:hAnsi="宋体"/>
              </w:rPr>
            </w:pPr>
            <w:r>
              <w:rPr>
                <w:rFonts w:ascii="宋体" w:hAnsi="宋体" w:hint="eastAsia"/>
              </w:rPr>
              <w:t>持仓占用保证金</w:t>
            </w:r>
          </w:p>
        </w:tc>
        <w:tc>
          <w:tcPr>
            <w:tcW w:w="689" w:type="dxa"/>
            <w:vMerge w:val="restart"/>
          </w:tcPr>
          <w:p w14:paraId="786B168C" w14:textId="77777777" w:rsidR="00F13EF7" w:rsidRDefault="00F13EF7" w:rsidP="00752AC1">
            <w:pPr>
              <w:spacing w:line="440" w:lineRule="exact"/>
              <w:jc w:val="center"/>
              <w:rPr>
                <w:rFonts w:ascii="宋体" w:hAnsi="宋体"/>
              </w:rPr>
            </w:pPr>
            <w:r>
              <w:rPr>
                <w:rFonts w:ascii="宋体" w:hAnsi="宋体" w:hint="eastAsia"/>
              </w:rPr>
              <w:t>可动用资金</w:t>
            </w:r>
          </w:p>
        </w:tc>
        <w:tc>
          <w:tcPr>
            <w:tcW w:w="705" w:type="dxa"/>
            <w:vMerge w:val="restart"/>
          </w:tcPr>
          <w:p w14:paraId="3F4CFEC2" w14:textId="77777777" w:rsidR="00F13EF7" w:rsidRDefault="00F13EF7" w:rsidP="00752AC1">
            <w:pPr>
              <w:spacing w:line="440" w:lineRule="exact"/>
              <w:jc w:val="center"/>
              <w:rPr>
                <w:rFonts w:ascii="宋体" w:hAnsi="宋体"/>
              </w:rPr>
            </w:pPr>
            <w:r>
              <w:rPr>
                <w:rFonts w:ascii="宋体" w:hAnsi="宋体" w:hint="eastAsia"/>
              </w:rPr>
              <w:t>预报交割数量</w:t>
            </w:r>
          </w:p>
        </w:tc>
        <w:tc>
          <w:tcPr>
            <w:tcW w:w="705" w:type="dxa"/>
            <w:vMerge w:val="restart"/>
          </w:tcPr>
          <w:p w14:paraId="07D622BC" w14:textId="77777777" w:rsidR="00F13EF7" w:rsidRDefault="00F13EF7" w:rsidP="00752AC1">
            <w:pPr>
              <w:spacing w:line="440" w:lineRule="exact"/>
              <w:jc w:val="center"/>
              <w:rPr>
                <w:rFonts w:ascii="宋体" w:hAnsi="宋体"/>
              </w:rPr>
            </w:pPr>
            <w:r>
              <w:rPr>
                <w:rFonts w:ascii="宋体" w:hAnsi="宋体" w:hint="eastAsia"/>
              </w:rPr>
              <w:t>申请交割数量</w:t>
            </w:r>
          </w:p>
        </w:tc>
        <w:tc>
          <w:tcPr>
            <w:tcW w:w="705" w:type="dxa"/>
            <w:vMerge w:val="restart"/>
          </w:tcPr>
          <w:p w14:paraId="3CFF39FF" w14:textId="77777777" w:rsidR="00F13EF7" w:rsidRDefault="00F13EF7" w:rsidP="00752AC1">
            <w:pPr>
              <w:spacing w:line="440" w:lineRule="exact"/>
              <w:jc w:val="center"/>
              <w:rPr>
                <w:rFonts w:ascii="宋体" w:hAnsi="宋体"/>
              </w:rPr>
            </w:pPr>
            <w:r>
              <w:rPr>
                <w:rFonts w:ascii="宋体" w:hAnsi="宋体" w:hint="eastAsia"/>
              </w:rPr>
              <w:t>持仓意向</w:t>
            </w:r>
          </w:p>
        </w:tc>
      </w:tr>
      <w:tr w:rsidR="00F13EF7" w14:paraId="2FF91F71" w14:textId="77777777" w:rsidTr="00752AC1">
        <w:trPr>
          <w:trHeight w:val="911"/>
          <w:jc w:val="center"/>
        </w:trPr>
        <w:tc>
          <w:tcPr>
            <w:tcW w:w="646" w:type="dxa"/>
            <w:vMerge/>
          </w:tcPr>
          <w:p w14:paraId="6B6D5501" w14:textId="77777777" w:rsidR="00F13EF7" w:rsidRDefault="00F13EF7" w:rsidP="00752AC1">
            <w:pPr>
              <w:spacing w:line="440" w:lineRule="exact"/>
              <w:jc w:val="center"/>
              <w:rPr>
                <w:rFonts w:ascii="宋体" w:hAnsi="宋体"/>
              </w:rPr>
            </w:pPr>
          </w:p>
        </w:tc>
        <w:tc>
          <w:tcPr>
            <w:tcW w:w="670" w:type="dxa"/>
            <w:vMerge/>
          </w:tcPr>
          <w:p w14:paraId="5C62FD13" w14:textId="77777777" w:rsidR="00F13EF7" w:rsidRDefault="00F13EF7" w:rsidP="00752AC1">
            <w:pPr>
              <w:spacing w:line="440" w:lineRule="exact"/>
              <w:jc w:val="center"/>
              <w:rPr>
                <w:rFonts w:ascii="宋体" w:hAnsi="宋体"/>
              </w:rPr>
            </w:pPr>
          </w:p>
        </w:tc>
        <w:tc>
          <w:tcPr>
            <w:tcW w:w="767" w:type="dxa"/>
            <w:vMerge/>
          </w:tcPr>
          <w:p w14:paraId="5C93A987" w14:textId="77777777" w:rsidR="00F13EF7" w:rsidRDefault="00F13EF7" w:rsidP="00752AC1">
            <w:pPr>
              <w:spacing w:line="440" w:lineRule="exact"/>
              <w:jc w:val="center"/>
              <w:rPr>
                <w:rFonts w:ascii="宋体" w:hAnsi="宋体"/>
              </w:rPr>
            </w:pPr>
          </w:p>
        </w:tc>
        <w:tc>
          <w:tcPr>
            <w:tcW w:w="794" w:type="dxa"/>
          </w:tcPr>
          <w:p w14:paraId="27DB81E7" w14:textId="77777777" w:rsidR="00F13EF7" w:rsidRDefault="00F13EF7" w:rsidP="00752AC1">
            <w:pPr>
              <w:spacing w:line="440" w:lineRule="exact"/>
              <w:jc w:val="center"/>
              <w:rPr>
                <w:rFonts w:ascii="宋体" w:hAnsi="宋体"/>
              </w:rPr>
            </w:pPr>
            <w:r>
              <w:rPr>
                <w:rFonts w:ascii="宋体" w:hAnsi="宋体" w:hint="eastAsia"/>
              </w:rPr>
              <w:t>买持仓量</w:t>
            </w:r>
          </w:p>
        </w:tc>
        <w:tc>
          <w:tcPr>
            <w:tcW w:w="779" w:type="dxa"/>
          </w:tcPr>
          <w:p w14:paraId="2B1336F0" w14:textId="77777777" w:rsidR="00F13EF7" w:rsidRDefault="00F13EF7" w:rsidP="00752AC1">
            <w:pPr>
              <w:spacing w:line="440" w:lineRule="exact"/>
              <w:jc w:val="center"/>
              <w:rPr>
                <w:rFonts w:ascii="宋体" w:hAnsi="宋体"/>
              </w:rPr>
            </w:pPr>
            <w:r>
              <w:rPr>
                <w:rFonts w:ascii="宋体" w:hAnsi="宋体" w:hint="eastAsia"/>
              </w:rPr>
              <w:t>卖持仓量</w:t>
            </w:r>
          </w:p>
        </w:tc>
        <w:tc>
          <w:tcPr>
            <w:tcW w:w="709" w:type="dxa"/>
          </w:tcPr>
          <w:p w14:paraId="1B2F5B9F" w14:textId="77777777" w:rsidR="00F13EF7" w:rsidRDefault="00F13EF7" w:rsidP="00752AC1">
            <w:pPr>
              <w:spacing w:line="440" w:lineRule="exact"/>
              <w:jc w:val="center"/>
              <w:rPr>
                <w:rFonts w:ascii="宋体" w:hAnsi="宋体"/>
              </w:rPr>
            </w:pPr>
            <w:r>
              <w:rPr>
                <w:rFonts w:ascii="宋体" w:hAnsi="宋体" w:hint="eastAsia"/>
              </w:rPr>
              <w:t>看涨</w:t>
            </w:r>
            <w:proofErr w:type="gramStart"/>
            <w:r>
              <w:rPr>
                <w:rFonts w:ascii="宋体" w:hAnsi="宋体" w:hint="eastAsia"/>
              </w:rPr>
              <w:t>期权买</w:t>
            </w:r>
            <w:proofErr w:type="gramEnd"/>
            <w:r>
              <w:rPr>
                <w:rFonts w:ascii="宋体" w:hAnsi="宋体" w:hint="eastAsia"/>
              </w:rPr>
              <w:t>持仓</w:t>
            </w:r>
          </w:p>
        </w:tc>
        <w:tc>
          <w:tcPr>
            <w:tcW w:w="670" w:type="dxa"/>
          </w:tcPr>
          <w:p w14:paraId="02DAB2B7" w14:textId="77777777" w:rsidR="00F13EF7" w:rsidRDefault="00F13EF7" w:rsidP="00752AC1">
            <w:pPr>
              <w:spacing w:line="440" w:lineRule="exact"/>
              <w:jc w:val="center"/>
              <w:rPr>
                <w:rFonts w:ascii="宋体" w:hAnsi="宋体"/>
              </w:rPr>
            </w:pPr>
            <w:r>
              <w:rPr>
                <w:rFonts w:ascii="宋体" w:hAnsi="宋体" w:hint="eastAsia"/>
              </w:rPr>
              <w:t>看跌</w:t>
            </w:r>
            <w:proofErr w:type="gramStart"/>
            <w:r>
              <w:rPr>
                <w:rFonts w:ascii="宋体" w:hAnsi="宋体" w:hint="eastAsia"/>
              </w:rPr>
              <w:t>期权卖</w:t>
            </w:r>
            <w:proofErr w:type="gramEnd"/>
            <w:r>
              <w:rPr>
                <w:rFonts w:ascii="宋体" w:hAnsi="宋体" w:hint="eastAsia"/>
              </w:rPr>
              <w:t>持仓</w:t>
            </w:r>
          </w:p>
        </w:tc>
        <w:tc>
          <w:tcPr>
            <w:tcW w:w="669" w:type="dxa"/>
          </w:tcPr>
          <w:p w14:paraId="1B06C2B1" w14:textId="77777777" w:rsidR="00F13EF7" w:rsidRDefault="00F13EF7" w:rsidP="00752AC1">
            <w:pPr>
              <w:spacing w:line="440" w:lineRule="exact"/>
              <w:jc w:val="center"/>
              <w:rPr>
                <w:rFonts w:ascii="宋体" w:hAnsi="宋体"/>
              </w:rPr>
            </w:pPr>
            <w:r>
              <w:rPr>
                <w:rFonts w:ascii="宋体" w:hAnsi="宋体" w:hint="eastAsia"/>
              </w:rPr>
              <w:t>看涨</w:t>
            </w:r>
            <w:proofErr w:type="gramStart"/>
            <w:r>
              <w:rPr>
                <w:rFonts w:ascii="宋体" w:hAnsi="宋体" w:hint="eastAsia"/>
              </w:rPr>
              <w:t>期权卖</w:t>
            </w:r>
            <w:proofErr w:type="gramEnd"/>
            <w:r>
              <w:rPr>
                <w:rFonts w:ascii="宋体" w:hAnsi="宋体" w:hint="eastAsia"/>
              </w:rPr>
              <w:t>持仓</w:t>
            </w:r>
          </w:p>
        </w:tc>
        <w:tc>
          <w:tcPr>
            <w:tcW w:w="719" w:type="dxa"/>
          </w:tcPr>
          <w:p w14:paraId="6D67BA38" w14:textId="77777777" w:rsidR="00F13EF7" w:rsidRDefault="00F13EF7" w:rsidP="00752AC1">
            <w:pPr>
              <w:spacing w:line="440" w:lineRule="exact"/>
              <w:jc w:val="center"/>
              <w:rPr>
                <w:rFonts w:ascii="宋体" w:hAnsi="宋体"/>
              </w:rPr>
            </w:pPr>
            <w:r>
              <w:rPr>
                <w:rFonts w:ascii="宋体" w:hAnsi="宋体" w:hint="eastAsia"/>
              </w:rPr>
              <w:t>看跌</w:t>
            </w:r>
            <w:proofErr w:type="gramStart"/>
            <w:r>
              <w:rPr>
                <w:rFonts w:ascii="宋体" w:hAnsi="宋体" w:hint="eastAsia"/>
              </w:rPr>
              <w:t>期权买</w:t>
            </w:r>
            <w:proofErr w:type="gramEnd"/>
            <w:r>
              <w:rPr>
                <w:rFonts w:ascii="宋体" w:hAnsi="宋体" w:hint="eastAsia"/>
              </w:rPr>
              <w:t>持仓</w:t>
            </w:r>
          </w:p>
        </w:tc>
        <w:tc>
          <w:tcPr>
            <w:tcW w:w="603" w:type="dxa"/>
            <w:vMerge/>
          </w:tcPr>
          <w:p w14:paraId="3F5FF6D9" w14:textId="77777777" w:rsidR="00F13EF7" w:rsidRDefault="00F13EF7" w:rsidP="00752AC1">
            <w:pPr>
              <w:spacing w:line="440" w:lineRule="exact"/>
              <w:jc w:val="center"/>
              <w:rPr>
                <w:rFonts w:ascii="宋体" w:hAnsi="宋体"/>
              </w:rPr>
            </w:pPr>
          </w:p>
        </w:tc>
        <w:tc>
          <w:tcPr>
            <w:tcW w:w="854" w:type="dxa"/>
            <w:vMerge/>
          </w:tcPr>
          <w:p w14:paraId="5F8DAA16" w14:textId="77777777" w:rsidR="00F13EF7" w:rsidRDefault="00F13EF7" w:rsidP="00752AC1">
            <w:pPr>
              <w:spacing w:line="440" w:lineRule="exact"/>
              <w:jc w:val="center"/>
              <w:rPr>
                <w:rFonts w:ascii="宋体" w:hAnsi="宋体"/>
              </w:rPr>
            </w:pPr>
          </w:p>
        </w:tc>
        <w:tc>
          <w:tcPr>
            <w:tcW w:w="689" w:type="dxa"/>
            <w:vMerge/>
          </w:tcPr>
          <w:p w14:paraId="58C3043A" w14:textId="77777777" w:rsidR="00F13EF7" w:rsidRDefault="00F13EF7" w:rsidP="00752AC1">
            <w:pPr>
              <w:spacing w:line="440" w:lineRule="exact"/>
              <w:jc w:val="center"/>
              <w:rPr>
                <w:rFonts w:ascii="宋体" w:hAnsi="宋体"/>
              </w:rPr>
            </w:pPr>
          </w:p>
        </w:tc>
        <w:tc>
          <w:tcPr>
            <w:tcW w:w="705" w:type="dxa"/>
            <w:vMerge/>
          </w:tcPr>
          <w:p w14:paraId="4C861709" w14:textId="77777777" w:rsidR="00F13EF7" w:rsidRDefault="00F13EF7" w:rsidP="00752AC1">
            <w:pPr>
              <w:spacing w:line="440" w:lineRule="exact"/>
              <w:jc w:val="center"/>
              <w:rPr>
                <w:rFonts w:ascii="宋体" w:hAnsi="宋体"/>
              </w:rPr>
            </w:pPr>
          </w:p>
        </w:tc>
        <w:tc>
          <w:tcPr>
            <w:tcW w:w="705" w:type="dxa"/>
            <w:vMerge/>
          </w:tcPr>
          <w:p w14:paraId="4F2E98AC" w14:textId="77777777" w:rsidR="00F13EF7" w:rsidRDefault="00F13EF7" w:rsidP="00752AC1">
            <w:pPr>
              <w:spacing w:line="440" w:lineRule="exact"/>
              <w:jc w:val="center"/>
              <w:rPr>
                <w:rFonts w:ascii="宋体" w:hAnsi="宋体"/>
              </w:rPr>
            </w:pPr>
          </w:p>
        </w:tc>
        <w:tc>
          <w:tcPr>
            <w:tcW w:w="705" w:type="dxa"/>
            <w:vMerge/>
          </w:tcPr>
          <w:p w14:paraId="49A3E79C" w14:textId="77777777" w:rsidR="00F13EF7" w:rsidRDefault="00F13EF7" w:rsidP="00752AC1">
            <w:pPr>
              <w:spacing w:line="440" w:lineRule="exact"/>
              <w:jc w:val="center"/>
              <w:rPr>
                <w:rFonts w:ascii="宋体" w:hAnsi="宋体"/>
              </w:rPr>
            </w:pPr>
          </w:p>
        </w:tc>
      </w:tr>
      <w:tr w:rsidR="00F13EF7" w14:paraId="4A42D4F1" w14:textId="77777777" w:rsidTr="00752AC1">
        <w:trPr>
          <w:trHeight w:val="433"/>
          <w:jc w:val="center"/>
        </w:trPr>
        <w:tc>
          <w:tcPr>
            <w:tcW w:w="646" w:type="dxa"/>
            <w:vMerge w:val="restart"/>
          </w:tcPr>
          <w:p w14:paraId="03380EBE" w14:textId="77777777" w:rsidR="00F13EF7" w:rsidRDefault="00F13EF7" w:rsidP="00752AC1">
            <w:pPr>
              <w:spacing w:line="440" w:lineRule="exact"/>
              <w:rPr>
                <w:rFonts w:ascii="宋体" w:hAnsi="宋体"/>
              </w:rPr>
            </w:pPr>
            <w:r>
              <w:rPr>
                <w:rFonts w:ascii="宋体" w:hAnsi="宋体" w:hint="eastAsia"/>
              </w:rPr>
              <w:t> </w:t>
            </w:r>
          </w:p>
        </w:tc>
        <w:tc>
          <w:tcPr>
            <w:tcW w:w="670" w:type="dxa"/>
            <w:vMerge w:val="restart"/>
          </w:tcPr>
          <w:p w14:paraId="189A3697" w14:textId="77777777" w:rsidR="00F13EF7" w:rsidRDefault="00F13EF7" w:rsidP="00752AC1">
            <w:pPr>
              <w:spacing w:line="440" w:lineRule="exact"/>
              <w:rPr>
                <w:rFonts w:ascii="宋体" w:hAnsi="宋体"/>
              </w:rPr>
            </w:pPr>
            <w:r>
              <w:rPr>
                <w:rFonts w:ascii="宋体" w:hAnsi="宋体" w:hint="eastAsia"/>
              </w:rPr>
              <w:t> </w:t>
            </w:r>
          </w:p>
        </w:tc>
        <w:tc>
          <w:tcPr>
            <w:tcW w:w="767" w:type="dxa"/>
          </w:tcPr>
          <w:p w14:paraId="6F2CEEBC" w14:textId="77777777" w:rsidR="00F13EF7" w:rsidRDefault="00F13EF7" w:rsidP="00752AC1">
            <w:pPr>
              <w:spacing w:line="440" w:lineRule="exact"/>
              <w:jc w:val="center"/>
              <w:rPr>
                <w:rFonts w:ascii="宋体" w:hAnsi="宋体"/>
              </w:rPr>
            </w:pPr>
          </w:p>
        </w:tc>
        <w:tc>
          <w:tcPr>
            <w:tcW w:w="794" w:type="dxa"/>
          </w:tcPr>
          <w:p w14:paraId="29CF95C3" w14:textId="77777777" w:rsidR="00F13EF7" w:rsidRDefault="00F13EF7" w:rsidP="00752AC1">
            <w:pPr>
              <w:spacing w:line="440" w:lineRule="exact"/>
              <w:jc w:val="center"/>
              <w:rPr>
                <w:rFonts w:ascii="宋体" w:hAnsi="宋体"/>
              </w:rPr>
            </w:pPr>
          </w:p>
        </w:tc>
        <w:tc>
          <w:tcPr>
            <w:tcW w:w="779" w:type="dxa"/>
          </w:tcPr>
          <w:p w14:paraId="1BB1303C"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779431D4" w14:textId="77777777" w:rsidR="00F13EF7" w:rsidRDefault="00F13EF7" w:rsidP="00752AC1">
            <w:pPr>
              <w:spacing w:line="440" w:lineRule="exact"/>
              <w:jc w:val="center"/>
              <w:rPr>
                <w:rFonts w:ascii="宋体" w:hAnsi="宋体"/>
              </w:rPr>
            </w:pPr>
          </w:p>
        </w:tc>
        <w:tc>
          <w:tcPr>
            <w:tcW w:w="670" w:type="dxa"/>
          </w:tcPr>
          <w:p w14:paraId="0B488F86"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79B6C4BE" w14:textId="77777777" w:rsidR="00F13EF7" w:rsidRDefault="00F13EF7" w:rsidP="00752AC1">
            <w:pPr>
              <w:spacing w:line="440" w:lineRule="exact"/>
              <w:rPr>
                <w:rFonts w:ascii="宋体" w:hAnsi="宋体"/>
              </w:rPr>
            </w:pPr>
          </w:p>
        </w:tc>
        <w:tc>
          <w:tcPr>
            <w:tcW w:w="719" w:type="dxa"/>
          </w:tcPr>
          <w:p w14:paraId="73A6AEA6" w14:textId="77777777" w:rsidR="00F13EF7" w:rsidRDefault="00F13EF7" w:rsidP="00752AC1">
            <w:pPr>
              <w:spacing w:line="440" w:lineRule="exact"/>
              <w:rPr>
                <w:rFonts w:ascii="宋体" w:hAnsi="宋体"/>
              </w:rPr>
            </w:pPr>
          </w:p>
        </w:tc>
        <w:tc>
          <w:tcPr>
            <w:tcW w:w="603" w:type="dxa"/>
          </w:tcPr>
          <w:p w14:paraId="5C86F96F" w14:textId="77777777" w:rsidR="00F13EF7" w:rsidRDefault="00F13EF7" w:rsidP="00752AC1">
            <w:pPr>
              <w:spacing w:line="440" w:lineRule="exact"/>
              <w:rPr>
                <w:rFonts w:ascii="宋体" w:hAnsi="宋体"/>
              </w:rPr>
            </w:pPr>
          </w:p>
        </w:tc>
        <w:tc>
          <w:tcPr>
            <w:tcW w:w="854" w:type="dxa"/>
          </w:tcPr>
          <w:p w14:paraId="411BFD27" w14:textId="77777777" w:rsidR="00F13EF7" w:rsidRDefault="00F13EF7" w:rsidP="00752AC1">
            <w:pPr>
              <w:spacing w:line="440" w:lineRule="exact"/>
              <w:rPr>
                <w:rFonts w:ascii="宋体" w:hAnsi="宋体"/>
              </w:rPr>
            </w:pPr>
          </w:p>
        </w:tc>
        <w:tc>
          <w:tcPr>
            <w:tcW w:w="689" w:type="dxa"/>
            <w:vMerge w:val="restart"/>
          </w:tcPr>
          <w:p w14:paraId="69CB953C" w14:textId="77777777" w:rsidR="00F13EF7" w:rsidRDefault="00F13EF7" w:rsidP="00752AC1">
            <w:pPr>
              <w:spacing w:line="440" w:lineRule="exact"/>
              <w:rPr>
                <w:rFonts w:ascii="宋体" w:hAnsi="宋体"/>
              </w:rPr>
            </w:pPr>
            <w:r>
              <w:rPr>
                <w:rFonts w:ascii="宋体" w:hAnsi="宋体" w:hint="eastAsia"/>
              </w:rPr>
              <w:t> </w:t>
            </w:r>
          </w:p>
          <w:p w14:paraId="4229175B" w14:textId="77777777" w:rsidR="00F13EF7" w:rsidRDefault="00F13EF7" w:rsidP="00752AC1">
            <w:pPr>
              <w:spacing w:line="440" w:lineRule="exact"/>
              <w:rPr>
                <w:rFonts w:ascii="宋体" w:hAnsi="宋体"/>
              </w:rPr>
            </w:pPr>
            <w:r>
              <w:rPr>
                <w:rFonts w:ascii="宋体" w:hAnsi="宋体" w:hint="eastAsia"/>
              </w:rPr>
              <w:t> </w:t>
            </w:r>
          </w:p>
          <w:p w14:paraId="3D71E1DD" w14:textId="77777777" w:rsidR="00F13EF7" w:rsidRDefault="00F13EF7" w:rsidP="00752AC1">
            <w:pPr>
              <w:spacing w:line="440" w:lineRule="exact"/>
              <w:rPr>
                <w:rFonts w:ascii="宋体" w:hAnsi="宋体"/>
              </w:rPr>
            </w:pPr>
            <w:r>
              <w:rPr>
                <w:rFonts w:ascii="宋体" w:hAnsi="宋体" w:hint="eastAsia"/>
              </w:rPr>
              <w:t> </w:t>
            </w:r>
          </w:p>
          <w:p w14:paraId="54F2B306" w14:textId="77777777" w:rsidR="00F13EF7" w:rsidRDefault="00F13EF7" w:rsidP="00752AC1">
            <w:pPr>
              <w:spacing w:line="440" w:lineRule="exact"/>
              <w:rPr>
                <w:rFonts w:ascii="宋体" w:hAnsi="宋体"/>
              </w:rPr>
            </w:pPr>
            <w:r>
              <w:rPr>
                <w:rFonts w:ascii="宋体" w:hAnsi="宋体" w:hint="eastAsia"/>
              </w:rPr>
              <w:t> </w:t>
            </w:r>
          </w:p>
          <w:p w14:paraId="7DCAE1EA" w14:textId="77777777" w:rsidR="00F13EF7" w:rsidRDefault="00F13EF7" w:rsidP="00752AC1">
            <w:pPr>
              <w:spacing w:line="440" w:lineRule="exact"/>
              <w:rPr>
                <w:rFonts w:ascii="宋体" w:hAnsi="宋体"/>
              </w:rPr>
            </w:pPr>
            <w:r>
              <w:rPr>
                <w:rFonts w:ascii="宋体" w:hAnsi="宋体" w:hint="eastAsia"/>
              </w:rPr>
              <w:t> </w:t>
            </w:r>
          </w:p>
          <w:p w14:paraId="6B49CE0F" w14:textId="77777777" w:rsidR="00F13EF7" w:rsidRDefault="00F13EF7" w:rsidP="00752AC1">
            <w:pPr>
              <w:spacing w:line="440" w:lineRule="exact"/>
              <w:rPr>
                <w:rFonts w:ascii="宋体" w:hAnsi="宋体"/>
              </w:rPr>
            </w:pPr>
            <w:r>
              <w:rPr>
                <w:rFonts w:ascii="宋体" w:hAnsi="宋体" w:hint="eastAsia"/>
              </w:rPr>
              <w:t> </w:t>
            </w:r>
          </w:p>
          <w:p w14:paraId="0972FFA0" w14:textId="77777777" w:rsidR="00F13EF7" w:rsidRDefault="00F13EF7" w:rsidP="00752AC1">
            <w:pPr>
              <w:spacing w:line="440" w:lineRule="exact"/>
              <w:rPr>
                <w:rFonts w:ascii="宋体" w:hAnsi="宋体"/>
              </w:rPr>
            </w:pPr>
            <w:r>
              <w:rPr>
                <w:rFonts w:ascii="宋体" w:hAnsi="宋体" w:hint="eastAsia"/>
              </w:rPr>
              <w:t> </w:t>
            </w:r>
          </w:p>
          <w:p w14:paraId="1BC55F70" w14:textId="77777777" w:rsidR="00F13EF7" w:rsidRDefault="00F13EF7" w:rsidP="00752AC1">
            <w:pPr>
              <w:spacing w:line="440" w:lineRule="exact"/>
              <w:rPr>
                <w:rFonts w:ascii="宋体" w:hAnsi="宋体"/>
              </w:rPr>
            </w:pPr>
            <w:r>
              <w:rPr>
                <w:rFonts w:ascii="宋体" w:hAnsi="宋体" w:hint="eastAsia"/>
              </w:rPr>
              <w:t> </w:t>
            </w:r>
          </w:p>
          <w:p w14:paraId="7DEB1C02" w14:textId="77777777" w:rsidR="00F13EF7" w:rsidRDefault="00F13EF7" w:rsidP="00752AC1">
            <w:pPr>
              <w:spacing w:line="440" w:lineRule="exact"/>
              <w:rPr>
                <w:rFonts w:ascii="宋体" w:hAnsi="宋体"/>
              </w:rPr>
            </w:pPr>
            <w:r>
              <w:rPr>
                <w:rFonts w:ascii="宋体" w:hAnsi="宋体" w:hint="eastAsia"/>
              </w:rPr>
              <w:t> </w:t>
            </w:r>
          </w:p>
        </w:tc>
        <w:tc>
          <w:tcPr>
            <w:tcW w:w="705" w:type="dxa"/>
            <w:vMerge w:val="restart"/>
          </w:tcPr>
          <w:p w14:paraId="3F9E6E24"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705" w:type="dxa"/>
            <w:vMerge w:val="restart"/>
          </w:tcPr>
          <w:p w14:paraId="3BF426D5"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705" w:type="dxa"/>
            <w:vMerge w:val="restart"/>
          </w:tcPr>
          <w:p w14:paraId="2082855C" w14:textId="77777777" w:rsidR="00F13EF7" w:rsidRDefault="00F13EF7" w:rsidP="00752AC1">
            <w:pPr>
              <w:spacing w:line="440" w:lineRule="exact"/>
              <w:rPr>
                <w:rFonts w:ascii="宋体" w:hAnsi="宋体"/>
              </w:rPr>
            </w:pPr>
          </w:p>
        </w:tc>
      </w:tr>
      <w:tr w:rsidR="00F13EF7" w14:paraId="06DA720A" w14:textId="77777777" w:rsidTr="00752AC1">
        <w:trPr>
          <w:trHeight w:val="448"/>
          <w:jc w:val="center"/>
        </w:trPr>
        <w:tc>
          <w:tcPr>
            <w:tcW w:w="646" w:type="dxa"/>
            <w:vMerge/>
          </w:tcPr>
          <w:p w14:paraId="00EFF613" w14:textId="77777777" w:rsidR="00F13EF7" w:rsidRDefault="00F13EF7" w:rsidP="00752AC1">
            <w:pPr>
              <w:rPr>
                <w:rFonts w:ascii="宋体" w:hAnsi="宋体"/>
              </w:rPr>
            </w:pPr>
          </w:p>
        </w:tc>
        <w:tc>
          <w:tcPr>
            <w:tcW w:w="670" w:type="dxa"/>
            <w:vMerge/>
          </w:tcPr>
          <w:p w14:paraId="10BFE62F" w14:textId="77777777" w:rsidR="00F13EF7" w:rsidRDefault="00F13EF7" w:rsidP="00752AC1">
            <w:pPr>
              <w:rPr>
                <w:rFonts w:ascii="宋体" w:hAnsi="宋体"/>
              </w:rPr>
            </w:pPr>
          </w:p>
        </w:tc>
        <w:tc>
          <w:tcPr>
            <w:tcW w:w="767" w:type="dxa"/>
          </w:tcPr>
          <w:p w14:paraId="2CEE6428"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508511A8"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1C03484A"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44F91068" w14:textId="77777777" w:rsidR="00F13EF7" w:rsidRDefault="00F13EF7" w:rsidP="00752AC1">
            <w:pPr>
              <w:spacing w:line="440" w:lineRule="exact"/>
              <w:jc w:val="center"/>
              <w:rPr>
                <w:rFonts w:ascii="宋体" w:hAnsi="宋体"/>
              </w:rPr>
            </w:pPr>
          </w:p>
        </w:tc>
        <w:tc>
          <w:tcPr>
            <w:tcW w:w="670" w:type="dxa"/>
          </w:tcPr>
          <w:p w14:paraId="21F7313C"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2328A144" w14:textId="77777777" w:rsidR="00F13EF7" w:rsidRDefault="00F13EF7" w:rsidP="00752AC1">
            <w:pPr>
              <w:spacing w:line="440" w:lineRule="exact"/>
              <w:rPr>
                <w:rFonts w:ascii="宋体" w:hAnsi="宋体"/>
              </w:rPr>
            </w:pPr>
          </w:p>
        </w:tc>
        <w:tc>
          <w:tcPr>
            <w:tcW w:w="719" w:type="dxa"/>
          </w:tcPr>
          <w:p w14:paraId="68BF78B4" w14:textId="77777777" w:rsidR="00F13EF7" w:rsidRDefault="00F13EF7" w:rsidP="00752AC1">
            <w:pPr>
              <w:spacing w:line="440" w:lineRule="exact"/>
              <w:rPr>
                <w:rFonts w:ascii="宋体" w:hAnsi="宋体"/>
              </w:rPr>
            </w:pPr>
          </w:p>
        </w:tc>
        <w:tc>
          <w:tcPr>
            <w:tcW w:w="603" w:type="dxa"/>
          </w:tcPr>
          <w:p w14:paraId="14868AC7" w14:textId="77777777" w:rsidR="00F13EF7" w:rsidRDefault="00F13EF7" w:rsidP="00752AC1">
            <w:pPr>
              <w:spacing w:line="440" w:lineRule="exact"/>
              <w:rPr>
                <w:rFonts w:ascii="宋体" w:hAnsi="宋体"/>
              </w:rPr>
            </w:pPr>
          </w:p>
        </w:tc>
        <w:tc>
          <w:tcPr>
            <w:tcW w:w="854" w:type="dxa"/>
          </w:tcPr>
          <w:p w14:paraId="0886B1AA" w14:textId="77777777" w:rsidR="00F13EF7" w:rsidRDefault="00F13EF7" w:rsidP="00752AC1">
            <w:pPr>
              <w:spacing w:line="440" w:lineRule="exact"/>
              <w:rPr>
                <w:rFonts w:ascii="宋体" w:hAnsi="宋体"/>
              </w:rPr>
            </w:pPr>
          </w:p>
        </w:tc>
        <w:tc>
          <w:tcPr>
            <w:tcW w:w="689" w:type="dxa"/>
            <w:vMerge/>
          </w:tcPr>
          <w:p w14:paraId="325A712B" w14:textId="77777777" w:rsidR="00F13EF7" w:rsidRDefault="00F13EF7" w:rsidP="00752AC1">
            <w:pPr>
              <w:rPr>
                <w:rFonts w:ascii="宋体" w:hAnsi="宋体"/>
              </w:rPr>
            </w:pPr>
          </w:p>
        </w:tc>
        <w:tc>
          <w:tcPr>
            <w:tcW w:w="705" w:type="dxa"/>
            <w:vMerge/>
          </w:tcPr>
          <w:p w14:paraId="52B4511E" w14:textId="77777777" w:rsidR="00F13EF7" w:rsidRDefault="00F13EF7" w:rsidP="00752AC1">
            <w:pPr>
              <w:rPr>
                <w:rFonts w:ascii="宋体" w:hAnsi="宋体"/>
              </w:rPr>
            </w:pPr>
          </w:p>
        </w:tc>
        <w:tc>
          <w:tcPr>
            <w:tcW w:w="705" w:type="dxa"/>
            <w:vMerge/>
          </w:tcPr>
          <w:p w14:paraId="6A98C536" w14:textId="77777777" w:rsidR="00F13EF7" w:rsidRDefault="00F13EF7" w:rsidP="00752AC1">
            <w:pPr>
              <w:rPr>
                <w:rFonts w:ascii="宋体" w:hAnsi="宋体"/>
              </w:rPr>
            </w:pPr>
          </w:p>
        </w:tc>
        <w:tc>
          <w:tcPr>
            <w:tcW w:w="705" w:type="dxa"/>
            <w:vMerge/>
          </w:tcPr>
          <w:p w14:paraId="01D2963E" w14:textId="77777777" w:rsidR="00F13EF7" w:rsidRDefault="00F13EF7" w:rsidP="00752AC1">
            <w:pPr>
              <w:rPr>
                <w:rFonts w:ascii="宋体" w:hAnsi="宋体"/>
              </w:rPr>
            </w:pPr>
          </w:p>
        </w:tc>
      </w:tr>
      <w:tr w:rsidR="00F13EF7" w14:paraId="79950EF4" w14:textId="77777777" w:rsidTr="00752AC1">
        <w:trPr>
          <w:trHeight w:val="448"/>
          <w:jc w:val="center"/>
        </w:trPr>
        <w:tc>
          <w:tcPr>
            <w:tcW w:w="646" w:type="dxa"/>
            <w:vMerge/>
          </w:tcPr>
          <w:p w14:paraId="05558EE1" w14:textId="77777777" w:rsidR="00F13EF7" w:rsidRDefault="00F13EF7" w:rsidP="00752AC1">
            <w:pPr>
              <w:rPr>
                <w:rFonts w:ascii="宋体" w:hAnsi="宋体"/>
              </w:rPr>
            </w:pPr>
          </w:p>
        </w:tc>
        <w:tc>
          <w:tcPr>
            <w:tcW w:w="670" w:type="dxa"/>
            <w:vMerge/>
          </w:tcPr>
          <w:p w14:paraId="3E56FC69" w14:textId="77777777" w:rsidR="00F13EF7" w:rsidRDefault="00F13EF7" w:rsidP="00752AC1">
            <w:pPr>
              <w:rPr>
                <w:rFonts w:ascii="宋体" w:hAnsi="宋体"/>
              </w:rPr>
            </w:pPr>
          </w:p>
        </w:tc>
        <w:tc>
          <w:tcPr>
            <w:tcW w:w="767" w:type="dxa"/>
          </w:tcPr>
          <w:p w14:paraId="2A1E18F2"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5FAFD5D4"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77AAFEA7"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75F8484C" w14:textId="77777777" w:rsidR="00F13EF7" w:rsidRDefault="00F13EF7" w:rsidP="00752AC1">
            <w:pPr>
              <w:spacing w:line="440" w:lineRule="exact"/>
              <w:jc w:val="center"/>
              <w:rPr>
                <w:rFonts w:ascii="宋体" w:hAnsi="宋体"/>
              </w:rPr>
            </w:pPr>
          </w:p>
        </w:tc>
        <w:tc>
          <w:tcPr>
            <w:tcW w:w="670" w:type="dxa"/>
          </w:tcPr>
          <w:p w14:paraId="50FA80B9"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35290F73" w14:textId="77777777" w:rsidR="00F13EF7" w:rsidRDefault="00F13EF7" w:rsidP="00752AC1">
            <w:pPr>
              <w:spacing w:line="440" w:lineRule="exact"/>
              <w:rPr>
                <w:rFonts w:ascii="宋体" w:hAnsi="宋体"/>
              </w:rPr>
            </w:pPr>
          </w:p>
        </w:tc>
        <w:tc>
          <w:tcPr>
            <w:tcW w:w="719" w:type="dxa"/>
          </w:tcPr>
          <w:p w14:paraId="03428B3E" w14:textId="77777777" w:rsidR="00F13EF7" w:rsidRDefault="00F13EF7" w:rsidP="00752AC1">
            <w:pPr>
              <w:spacing w:line="440" w:lineRule="exact"/>
              <w:rPr>
                <w:rFonts w:ascii="宋体" w:hAnsi="宋体"/>
              </w:rPr>
            </w:pPr>
          </w:p>
        </w:tc>
        <w:tc>
          <w:tcPr>
            <w:tcW w:w="603" w:type="dxa"/>
          </w:tcPr>
          <w:p w14:paraId="2AE4828C" w14:textId="77777777" w:rsidR="00F13EF7" w:rsidRDefault="00F13EF7" w:rsidP="00752AC1">
            <w:pPr>
              <w:spacing w:line="440" w:lineRule="exact"/>
              <w:rPr>
                <w:rFonts w:ascii="宋体" w:hAnsi="宋体"/>
              </w:rPr>
            </w:pPr>
          </w:p>
        </w:tc>
        <w:tc>
          <w:tcPr>
            <w:tcW w:w="854" w:type="dxa"/>
          </w:tcPr>
          <w:p w14:paraId="1B70F11B" w14:textId="77777777" w:rsidR="00F13EF7" w:rsidRDefault="00F13EF7" w:rsidP="00752AC1">
            <w:pPr>
              <w:spacing w:line="440" w:lineRule="exact"/>
              <w:rPr>
                <w:rFonts w:ascii="宋体" w:hAnsi="宋体"/>
              </w:rPr>
            </w:pPr>
          </w:p>
        </w:tc>
        <w:tc>
          <w:tcPr>
            <w:tcW w:w="689" w:type="dxa"/>
            <w:vMerge/>
          </w:tcPr>
          <w:p w14:paraId="56DE64C9" w14:textId="77777777" w:rsidR="00F13EF7" w:rsidRDefault="00F13EF7" w:rsidP="00752AC1">
            <w:pPr>
              <w:rPr>
                <w:rFonts w:ascii="宋体" w:hAnsi="宋体"/>
              </w:rPr>
            </w:pPr>
          </w:p>
        </w:tc>
        <w:tc>
          <w:tcPr>
            <w:tcW w:w="705" w:type="dxa"/>
            <w:vMerge/>
          </w:tcPr>
          <w:p w14:paraId="2CCD53E7" w14:textId="77777777" w:rsidR="00F13EF7" w:rsidRDefault="00F13EF7" w:rsidP="00752AC1">
            <w:pPr>
              <w:rPr>
                <w:rFonts w:ascii="宋体" w:hAnsi="宋体"/>
              </w:rPr>
            </w:pPr>
          </w:p>
        </w:tc>
        <w:tc>
          <w:tcPr>
            <w:tcW w:w="705" w:type="dxa"/>
            <w:vMerge/>
          </w:tcPr>
          <w:p w14:paraId="5C189970" w14:textId="77777777" w:rsidR="00F13EF7" w:rsidRDefault="00F13EF7" w:rsidP="00752AC1">
            <w:pPr>
              <w:rPr>
                <w:rFonts w:ascii="宋体" w:hAnsi="宋体"/>
              </w:rPr>
            </w:pPr>
          </w:p>
        </w:tc>
        <w:tc>
          <w:tcPr>
            <w:tcW w:w="705" w:type="dxa"/>
            <w:vMerge/>
          </w:tcPr>
          <w:p w14:paraId="36C33355" w14:textId="77777777" w:rsidR="00F13EF7" w:rsidRDefault="00F13EF7" w:rsidP="00752AC1">
            <w:pPr>
              <w:rPr>
                <w:rFonts w:ascii="宋体" w:hAnsi="宋体"/>
              </w:rPr>
            </w:pPr>
          </w:p>
        </w:tc>
      </w:tr>
      <w:tr w:rsidR="00F13EF7" w14:paraId="09B7D546" w14:textId="77777777" w:rsidTr="00752AC1">
        <w:trPr>
          <w:trHeight w:val="448"/>
          <w:jc w:val="center"/>
        </w:trPr>
        <w:tc>
          <w:tcPr>
            <w:tcW w:w="646" w:type="dxa"/>
            <w:vMerge/>
          </w:tcPr>
          <w:p w14:paraId="666BA6FE" w14:textId="77777777" w:rsidR="00F13EF7" w:rsidRDefault="00F13EF7" w:rsidP="00752AC1">
            <w:pPr>
              <w:rPr>
                <w:rFonts w:ascii="宋体" w:hAnsi="宋体"/>
              </w:rPr>
            </w:pPr>
          </w:p>
        </w:tc>
        <w:tc>
          <w:tcPr>
            <w:tcW w:w="670" w:type="dxa"/>
            <w:vMerge/>
          </w:tcPr>
          <w:p w14:paraId="4AF23DF5" w14:textId="77777777" w:rsidR="00F13EF7" w:rsidRDefault="00F13EF7" w:rsidP="00752AC1">
            <w:pPr>
              <w:rPr>
                <w:rFonts w:ascii="宋体" w:hAnsi="宋体"/>
              </w:rPr>
            </w:pPr>
          </w:p>
        </w:tc>
        <w:tc>
          <w:tcPr>
            <w:tcW w:w="767" w:type="dxa"/>
          </w:tcPr>
          <w:p w14:paraId="4A3FB81F"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0987481E"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25E66BFC"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13C96829" w14:textId="77777777" w:rsidR="00F13EF7" w:rsidRDefault="00F13EF7" w:rsidP="00752AC1">
            <w:pPr>
              <w:spacing w:line="440" w:lineRule="exact"/>
              <w:jc w:val="center"/>
              <w:rPr>
                <w:rFonts w:ascii="宋体" w:hAnsi="宋体"/>
              </w:rPr>
            </w:pPr>
          </w:p>
        </w:tc>
        <w:tc>
          <w:tcPr>
            <w:tcW w:w="670" w:type="dxa"/>
          </w:tcPr>
          <w:p w14:paraId="30AD968E"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0E759F21" w14:textId="77777777" w:rsidR="00F13EF7" w:rsidRDefault="00F13EF7" w:rsidP="00752AC1">
            <w:pPr>
              <w:spacing w:line="440" w:lineRule="exact"/>
              <w:rPr>
                <w:rFonts w:ascii="宋体" w:hAnsi="宋体"/>
              </w:rPr>
            </w:pPr>
          </w:p>
        </w:tc>
        <w:tc>
          <w:tcPr>
            <w:tcW w:w="719" w:type="dxa"/>
          </w:tcPr>
          <w:p w14:paraId="51666AC9" w14:textId="77777777" w:rsidR="00F13EF7" w:rsidRDefault="00F13EF7" w:rsidP="00752AC1">
            <w:pPr>
              <w:spacing w:line="440" w:lineRule="exact"/>
              <w:rPr>
                <w:rFonts w:ascii="宋体" w:hAnsi="宋体"/>
              </w:rPr>
            </w:pPr>
          </w:p>
        </w:tc>
        <w:tc>
          <w:tcPr>
            <w:tcW w:w="603" w:type="dxa"/>
          </w:tcPr>
          <w:p w14:paraId="611B8AE4" w14:textId="77777777" w:rsidR="00F13EF7" w:rsidRDefault="00F13EF7" w:rsidP="00752AC1">
            <w:pPr>
              <w:spacing w:line="440" w:lineRule="exact"/>
              <w:rPr>
                <w:rFonts w:ascii="宋体" w:hAnsi="宋体"/>
              </w:rPr>
            </w:pPr>
          </w:p>
        </w:tc>
        <w:tc>
          <w:tcPr>
            <w:tcW w:w="854" w:type="dxa"/>
          </w:tcPr>
          <w:p w14:paraId="78AC3FEA" w14:textId="77777777" w:rsidR="00F13EF7" w:rsidRDefault="00F13EF7" w:rsidP="00752AC1">
            <w:pPr>
              <w:spacing w:line="440" w:lineRule="exact"/>
              <w:rPr>
                <w:rFonts w:ascii="宋体" w:hAnsi="宋体"/>
              </w:rPr>
            </w:pPr>
          </w:p>
        </w:tc>
        <w:tc>
          <w:tcPr>
            <w:tcW w:w="689" w:type="dxa"/>
            <w:vMerge/>
          </w:tcPr>
          <w:p w14:paraId="031CF437" w14:textId="77777777" w:rsidR="00F13EF7" w:rsidRDefault="00F13EF7" w:rsidP="00752AC1">
            <w:pPr>
              <w:rPr>
                <w:rFonts w:ascii="宋体" w:hAnsi="宋体"/>
              </w:rPr>
            </w:pPr>
          </w:p>
        </w:tc>
        <w:tc>
          <w:tcPr>
            <w:tcW w:w="705" w:type="dxa"/>
            <w:vMerge/>
          </w:tcPr>
          <w:p w14:paraId="08D18D5E" w14:textId="77777777" w:rsidR="00F13EF7" w:rsidRDefault="00F13EF7" w:rsidP="00752AC1">
            <w:pPr>
              <w:rPr>
                <w:rFonts w:ascii="宋体" w:hAnsi="宋体"/>
              </w:rPr>
            </w:pPr>
          </w:p>
        </w:tc>
        <w:tc>
          <w:tcPr>
            <w:tcW w:w="705" w:type="dxa"/>
            <w:vMerge/>
          </w:tcPr>
          <w:p w14:paraId="6A290925" w14:textId="77777777" w:rsidR="00F13EF7" w:rsidRDefault="00F13EF7" w:rsidP="00752AC1">
            <w:pPr>
              <w:rPr>
                <w:rFonts w:ascii="宋体" w:hAnsi="宋体"/>
              </w:rPr>
            </w:pPr>
          </w:p>
        </w:tc>
        <w:tc>
          <w:tcPr>
            <w:tcW w:w="705" w:type="dxa"/>
            <w:vMerge/>
          </w:tcPr>
          <w:p w14:paraId="4350B18A" w14:textId="77777777" w:rsidR="00F13EF7" w:rsidRDefault="00F13EF7" w:rsidP="00752AC1">
            <w:pPr>
              <w:rPr>
                <w:rFonts w:ascii="宋体" w:hAnsi="宋体"/>
              </w:rPr>
            </w:pPr>
          </w:p>
        </w:tc>
      </w:tr>
      <w:tr w:rsidR="00F13EF7" w14:paraId="535E6F97" w14:textId="77777777" w:rsidTr="00752AC1">
        <w:trPr>
          <w:trHeight w:val="448"/>
          <w:jc w:val="center"/>
        </w:trPr>
        <w:tc>
          <w:tcPr>
            <w:tcW w:w="646" w:type="dxa"/>
            <w:vMerge/>
          </w:tcPr>
          <w:p w14:paraId="6C7DA59C" w14:textId="77777777" w:rsidR="00F13EF7" w:rsidRDefault="00F13EF7" w:rsidP="00752AC1">
            <w:pPr>
              <w:rPr>
                <w:rFonts w:ascii="宋体" w:hAnsi="宋体"/>
              </w:rPr>
            </w:pPr>
          </w:p>
        </w:tc>
        <w:tc>
          <w:tcPr>
            <w:tcW w:w="670" w:type="dxa"/>
            <w:vMerge/>
          </w:tcPr>
          <w:p w14:paraId="2B4740F1" w14:textId="77777777" w:rsidR="00F13EF7" w:rsidRDefault="00F13EF7" w:rsidP="00752AC1">
            <w:pPr>
              <w:rPr>
                <w:rFonts w:ascii="宋体" w:hAnsi="宋体"/>
              </w:rPr>
            </w:pPr>
          </w:p>
        </w:tc>
        <w:tc>
          <w:tcPr>
            <w:tcW w:w="767" w:type="dxa"/>
          </w:tcPr>
          <w:p w14:paraId="67932D59"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143F9A55"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6710710A"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7CCD7561" w14:textId="77777777" w:rsidR="00F13EF7" w:rsidRDefault="00F13EF7" w:rsidP="00752AC1">
            <w:pPr>
              <w:spacing w:line="440" w:lineRule="exact"/>
              <w:jc w:val="center"/>
              <w:rPr>
                <w:rFonts w:ascii="宋体" w:hAnsi="宋体"/>
              </w:rPr>
            </w:pPr>
          </w:p>
        </w:tc>
        <w:tc>
          <w:tcPr>
            <w:tcW w:w="670" w:type="dxa"/>
          </w:tcPr>
          <w:p w14:paraId="711D07E4"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01C4A733" w14:textId="77777777" w:rsidR="00F13EF7" w:rsidRDefault="00F13EF7" w:rsidP="00752AC1">
            <w:pPr>
              <w:spacing w:line="440" w:lineRule="exact"/>
              <w:rPr>
                <w:rFonts w:ascii="宋体" w:hAnsi="宋体"/>
              </w:rPr>
            </w:pPr>
          </w:p>
        </w:tc>
        <w:tc>
          <w:tcPr>
            <w:tcW w:w="719" w:type="dxa"/>
          </w:tcPr>
          <w:p w14:paraId="704EFC42" w14:textId="77777777" w:rsidR="00F13EF7" w:rsidRDefault="00F13EF7" w:rsidP="00752AC1">
            <w:pPr>
              <w:spacing w:line="440" w:lineRule="exact"/>
              <w:rPr>
                <w:rFonts w:ascii="宋体" w:hAnsi="宋体"/>
              </w:rPr>
            </w:pPr>
          </w:p>
        </w:tc>
        <w:tc>
          <w:tcPr>
            <w:tcW w:w="603" w:type="dxa"/>
          </w:tcPr>
          <w:p w14:paraId="21305AAE" w14:textId="77777777" w:rsidR="00F13EF7" w:rsidRDefault="00F13EF7" w:rsidP="00752AC1">
            <w:pPr>
              <w:spacing w:line="440" w:lineRule="exact"/>
              <w:rPr>
                <w:rFonts w:ascii="宋体" w:hAnsi="宋体"/>
              </w:rPr>
            </w:pPr>
          </w:p>
        </w:tc>
        <w:tc>
          <w:tcPr>
            <w:tcW w:w="854" w:type="dxa"/>
          </w:tcPr>
          <w:p w14:paraId="57138293" w14:textId="77777777" w:rsidR="00F13EF7" w:rsidRDefault="00F13EF7" w:rsidP="00752AC1">
            <w:pPr>
              <w:spacing w:line="440" w:lineRule="exact"/>
              <w:rPr>
                <w:rFonts w:ascii="宋体" w:hAnsi="宋体"/>
              </w:rPr>
            </w:pPr>
          </w:p>
        </w:tc>
        <w:tc>
          <w:tcPr>
            <w:tcW w:w="689" w:type="dxa"/>
            <w:vMerge/>
          </w:tcPr>
          <w:p w14:paraId="2285388A" w14:textId="77777777" w:rsidR="00F13EF7" w:rsidRDefault="00F13EF7" w:rsidP="00752AC1">
            <w:pPr>
              <w:rPr>
                <w:rFonts w:ascii="宋体" w:hAnsi="宋体"/>
              </w:rPr>
            </w:pPr>
          </w:p>
        </w:tc>
        <w:tc>
          <w:tcPr>
            <w:tcW w:w="705" w:type="dxa"/>
            <w:vMerge/>
          </w:tcPr>
          <w:p w14:paraId="6BD6D8A0" w14:textId="77777777" w:rsidR="00F13EF7" w:rsidRDefault="00F13EF7" w:rsidP="00752AC1">
            <w:pPr>
              <w:rPr>
                <w:rFonts w:ascii="宋体" w:hAnsi="宋体"/>
              </w:rPr>
            </w:pPr>
          </w:p>
        </w:tc>
        <w:tc>
          <w:tcPr>
            <w:tcW w:w="705" w:type="dxa"/>
            <w:vMerge/>
          </w:tcPr>
          <w:p w14:paraId="2C4171CE" w14:textId="77777777" w:rsidR="00F13EF7" w:rsidRDefault="00F13EF7" w:rsidP="00752AC1">
            <w:pPr>
              <w:rPr>
                <w:rFonts w:ascii="宋体" w:hAnsi="宋体"/>
              </w:rPr>
            </w:pPr>
          </w:p>
        </w:tc>
        <w:tc>
          <w:tcPr>
            <w:tcW w:w="705" w:type="dxa"/>
            <w:vMerge/>
          </w:tcPr>
          <w:p w14:paraId="65B7B317" w14:textId="77777777" w:rsidR="00F13EF7" w:rsidRDefault="00F13EF7" w:rsidP="00752AC1">
            <w:pPr>
              <w:rPr>
                <w:rFonts w:ascii="宋体" w:hAnsi="宋体"/>
              </w:rPr>
            </w:pPr>
          </w:p>
        </w:tc>
      </w:tr>
      <w:tr w:rsidR="00F13EF7" w14:paraId="2E1DCF9C" w14:textId="77777777" w:rsidTr="00752AC1">
        <w:trPr>
          <w:trHeight w:val="224"/>
          <w:jc w:val="center"/>
        </w:trPr>
        <w:tc>
          <w:tcPr>
            <w:tcW w:w="646" w:type="dxa"/>
            <w:vMerge/>
          </w:tcPr>
          <w:p w14:paraId="68EBE5D2" w14:textId="77777777" w:rsidR="00F13EF7" w:rsidRDefault="00F13EF7" w:rsidP="00752AC1">
            <w:pPr>
              <w:rPr>
                <w:rFonts w:ascii="宋体" w:hAnsi="宋体"/>
              </w:rPr>
            </w:pPr>
          </w:p>
        </w:tc>
        <w:tc>
          <w:tcPr>
            <w:tcW w:w="670" w:type="dxa"/>
            <w:vMerge/>
          </w:tcPr>
          <w:p w14:paraId="3CDC8DB2" w14:textId="77777777" w:rsidR="00F13EF7" w:rsidRDefault="00F13EF7" w:rsidP="00752AC1">
            <w:pPr>
              <w:rPr>
                <w:rFonts w:ascii="宋体" w:hAnsi="宋体"/>
              </w:rPr>
            </w:pPr>
          </w:p>
        </w:tc>
        <w:tc>
          <w:tcPr>
            <w:tcW w:w="767" w:type="dxa"/>
          </w:tcPr>
          <w:p w14:paraId="7434A86C"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232E315F"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3E28BFFC"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3C5A0269" w14:textId="77777777" w:rsidR="00F13EF7" w:rsidRDefault="00F13EF7" w:rsidP="00752AC1">
            <w:pPr>
              <w:spacing w:line="440" w:lineRule="exact"/>
              <w:jc w:val="center"/>
              <w:rPr>
                <w:rFonts w:ascii="宋体" w:hAnsi="宋体"/>
              </w:rPr>
            </w:pPr>
          </w:p>
        </w:tc>
        <w:tc>
          <w:tcPr>
            <w:tcW w:w="670" w:type="dxa"/>
          </w:tcPr>
          <w:p w14:paraId="641B4425"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05121CA8" w14:textId="77777777" w:rsidR="00F13EF7" w:rsidRDefault="00F13EF7" w:rsidP="00752AC1">
            <w:pPr>
              <w:spacing w:line="440" w:lineRule="exact"/>
              <w:rPr>
                <w:rFonts w:ascii="宋体" w:hAnsi="宋体"/>
              </w:rPr>
            </w:pPr>
          </w:p>
        </w:tc>
        <w:tc>
          <w:tcPr>
            <w:tcW w:w="719" w:type="dxa"/>
          </w:tcPr>
          <w:p w14:paraId="22E20B03" w14:textId="77777777" w:rsidR="00F13EF7" w:rsidRDefault="00F13EF7" w:rsidP="00752AC1">
            <w:pPr>
              <w:spacing w:line="440" w:lineRule="exact"/>
              <w:rPr>
                <w:rFonts w:ascii="宋体" w:hAnsi="宋体"/>
              </w:rPr>
            </w:pPr>
          </w:p>
        </w:tc>
        <w:tc>
          <w:tcPr>
            <w:tcW w:w="603" w:type="dxa"/>
          </w:tcPr>
          <w:p w14:paraId="54CD2B7C" w14:textId="77777777" w:rsidR="00F13EF7" w:rsidRDefault="00F13EF7" w:rsidP="00752AC1">
            <w:pPr>
              <w:spacing w:line="440" w:lineRule="exact"/>
              <w:rPr>
                <w:rFonts w:ascii="宋体" w:hAnsi="宋体"/>
              </w:rPr>
            </w:pPr>
          </w:p>
        </w:tc>
        <w:tc>
          <w:tcPr>
            <w:tcW w:w="854" w:type="dxa"/>
          </w:tcPr>
          <w:p w14:paraId="5E0A1321" w14:textId="77777777" w:rsidR="00F13EF7" w:rsidRDefault="00F13EF7" w:rsidP="00752AC1">
            <w:pPr>
              <w:spacing w:line="440" w:lineRule="exact"/>
              <w:rPr>
                <w:rFonts w:ascii="宋体" w:hAnsi="宋体"/>
              </w:rPr>
            </w:pPr>
          </w:p>
        </w:tc>
        <w:tc>
          <w:tcPr>
            <w:tcW w:w="689" w:type="dxa"/>
            <w:vMerge/>
          </w:tcPr>
          <w:p w14:paraId="438CC615" w14:textId="77777777" w:rsidR="00F13EF7" w:rsidRDefault="00F13EF7" w:rsidP="00752AC1">
            <w:pPr>
              <w:rPr>
                <w:rFonts w:ascii="宋体" w:hAnsi="宋体"/>
              </w:rPr>
            </w:pPr>
          </w:p>
        </w:tc>
        <w:tc>
          <w:tcPr>
            <w:tcW w:w="705" w:type="dxa"/>
            <w:vMerge/>
          </w:tcPr>
          <w:p w14:paraId="0A97FF74" w14:textId="77777777" w:rsidR="00F13EF7" w:rsidRDefault="00F13EF7" w:rsidP="00752AC1">
            <w:pPr>
              <w:rPr>
                <w:rFonts w:ascii="宋体" w:hAnsi="宋体"/>
              </w:rPr>
            </w:pPr>
          </w:p>
        </w:tc>
        <w:tc>
          <w:tcPr>
            <w:tcW w:w="705" w:type="dxa"/>
            <w:vMerge/>
          </w:tcPr>
          <w:p w14:paraId="042FC73B" w14:textId="77777777" w:rsidR="00F13EF7" w:rsidRDefault="00F13EF7" w:rsidP="00752AC1">
            <w:pPr>
              <w:rPr>
                <w:rFonts w:ascii="宋体" w:hAnsi="宋体"/>
              </w:rPr>
            </w:pPr>
          </w:p>
        </w:tc>
        <w:tc>
          <w:tcPr>
            <w:tcW w:w="705" w:type="dxa"/>
            <w:vMerge/>
          </w:tcPr>
          <w:p w14:paraId="37FADDDA" w14:textId="77777777" w:rsidR="00F13EF7" w:rsidRDefault="00F13EF7" w:rsidP="00752AC1">
            <w:pPr>
              <w:rPr>
                <w:rFonts w:ascii="宋体" w:hAnsi="宋体"/>
              </w:rPr>
            </w:pPr>
          </w:p>
        </w:tc>
      </w:tr>
      <w:tr w:rsidR="00F13EF7" w14:paraId="7C1E535B" w14:textId="77777777" w:rsidTr="00752AC1">
        <w:trPr>
          <w:trHeight w:val="1255"/>
          <w:jc w:val="center"/>
        </w:trPr>
        <w:tc>
          <w:tcPr>
            <w:tcW w:w="646" w:type="dxa"/>
          </w:tcPr>
          <w:p w14:paraId="48B25E3A" w14:textId="77777777" w:rsidR="00F13EF7" w:rsidRDefault="00F13EF7" w:rsidP="00752AC1">
            <w:pPr>
              <w:spacing w:line="440" w:lineRule="exact"/>
              <w:jc w:val="center"/>
              <w:rPr>
                <w:rFonts w:ascii="宋体" w:hAnsi="宋体"/>
              </w:rPr>
            </w:pPr>
            <w:r>
              <w:rPr>
                <w:rFonts w:ascii="宋体" w:hAnsi="宋体" w:hint="eastAsia"/>
              </w:rPr>
              <w:t>合计</w:t>
            </w:r>
          </w:p>
        </w:tc>
        <w:tc>
          <w:tcPr>
            <w:tcW w:w="670" w:type="dxa"/>
          </w:tcPr>
          <w:p w14:paraId="7DD5A6A4" w14:textId="77777777" w:rsidR="00F13EF7" w:rsidRDefault="00F13EF7" w:rsidP="00752AC1">
            <w:pPr>
              <w:spacing w:line="440" w:lineRule="exact"/>
              <w:rPr>
                <w:rFonts w:ascii="宋体" w:hAnsi="宋体"/>
              </w:rPr>
            </w:pPr>
            <w:r>
              <w:rPr>
                <w:rFonts w:ascii="宋体" w:hAnsi="宋体" w:hint="eastAsia"/>
              </w:rPr>
              <w:t> </w:t>
            </w:r>
          </w:p>
        </w:tc>
        <w:tc>
          <w:tcPr>
            <w:tcW w:w="767" w:type="dxa"/>
          </w:tcPr>
          <w:p w14:paraId="0866DE0A"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6D60CDDE"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35C6AC3E"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21CAA443" w14:textId="77777777" w:rsidR="00F13EF7" w:rsidRDefault="00F13EF7" w:rsidP="00752AC1">
            <w:pPr>
              <w:spacing w:line="440" w:lineRule="exact"/>
              <w:jc w:val="center"/>
              <w:rPr>
                <w:rFonts w:ascii="宋体" w:hAnsi="宋体"/>
              </w:rPr>
            </w:pPr>
          </w:p>
        </w:tc>
        <w:tc>
          <w:tcPr>
            <w:tcW w:w="670" w:type="dxa"/>
          </w:tcPr>
          <w:p w14:paraId="760C5ABB"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5301A135" w14:textId="77777777" w:rsidR="00F13EF7" w:rsidRDefault="00F13EF7" w:rsidP="00752AC1">
            <w:pPr>
              <w:spacing w:line="440" w:lineRule="exact"/>
              <w:rPr>
                <w:rFonts w:ascii="宋体" w:hAnsi="宋体"/>
              </w:rPr>
            </w:pPr>
          </w:p>
        </w:tc>
        <w:tc>
          <w:tcPr>
            <w:tcW w:w="719" w:type="dxa"/>
          </w:tcPr>
          <w:p w14:paraId="0092500A" w14:textId="77777777" w:rsidR="00F13EF7" w:rsidRDefault="00F13EF7" w:rsidP="00752AC1">
            <w:pPr>
              <w:spacing w:line="440" w:lineRule="exact"/>
              <w:rPr>
                <w:rFonts w:ascii="宋体" w:hAnsi="宋体"/>
              </w:rPr>
            </w:pPr>
          </w:p>
        </w:tc>
        <w:tc>
          <w:tcPr>
            <w:tcW w:w="603" w:type="dxa"/>
          </w:tcPr>
          <w:p w14:paraId="081544B0" w14:textId="77777777" w:rsidR="00F13EF7" w:rsidRDefault="00F13EF7" w:rsidP="00752AC1">
            <w:pPr>
              <w:spacing w:line="440" w:lineRule="exact"/>
              <w:rPr>
                <w:rFonts w:ascii="宋体" w:hAnsi="宋体"/>
              </w:rPr>
            </w:pPr>
          </w:p>
        </w:tc>
        <w:tc>
          <w:tcPr>
            <w:tcW w:w="854" w:type="dxa"/>
          </w:tcPr>
          <w:p w14:paraId="32F8B821" w14:textId="77777777" w:rsidR="00F13EF7" w:rsidRDefault="00F13EF7" w:rsidP="00752AC1">
            <w:pPr>
              <w:spacing w:line="440" w:lineRule="exact"/>
              <w:rPr>
                <w:rFonts w:ascii="宋体" w:hAnsi="宋体"/>
              </w:rPr>
            </w:pPr>
          </w:p>
        </w:tc>
        <w:tc>
          <w:tcPr>
            <w:tcW w:w="689" w:type="dxa"/>
            <w:vMerge/>
          </w:tcPr>
          <w:p w14:paraId="0ABCA511" w14:textId="77777777" w:rsidR="00F13EF7" w:rsidRDefault="00F13EF7" w:rsidP="00752AC1">
            <w:pPr>
              <w:rPr>
                <w:rFonts w:ascii="宋体" w:hAnsi="宋体"/>
              </w:rPr>
            </w:pPr>
          </w:p>
        </w:tc>
        <w:tc>
          <w:tcPr>
            <w:tcW w:w="705" w:type="dxa"/>
            <w:vMerge/>
          </w:tcPr>
          <w:p w14:paraId="02153B8F" w14:textId="77777777" w:rsidR="00F13EF7" w:rsidRDefault="00F13EF7" w:rsidP="00752AC1">
            <w:pPr>
              <w:rPr>
                <w:rFonts w:ascii="宋体" w:hAnsi="宋体"/>
              </w:rPr>
            </w:pPr>
          </w:p>
        </w:tc>
        <w:tc>
          <w:tcPr>
            <w:tcW w:w="705" w:type="dxa"/>
            <w:vMerge/>
          </w:tcPr>
          <w:p w14:paraId="039A8587" w14:textId="77777777" w:rsidR="00F13EF7" w:rsidRDefault="00F13EF7" w:rsidP="00752AC1">
            <w:pPr>
              <w:rPr>
                <w:rFonts w:ascii="宋体" w:hAnsi="宋体"/>
              </w:rPr>
            </w:pPr>
          </w:p>
        </w:tc>
        <w:tc>
          <w:tcPr>
            <w:tcW w:w="705" w:type="dxa"/>
            <w:vMerge/>
          </w:tcPr>
          <w:p w14:paraId="5A013A16" w14:textId="77777777" w:rsidR="00F13EF7" w:rsidRDefault="00F13EF7" w:rsidP="00752AC1">
            <w:pPr>
              <w:rPr>
                <w:rFonts w:ascii="宋体" w:hAnsi="宋体"/>
              </w:rPr>
            </w:pPr>
          </w:p>
        </w:tc>
      </w:tr>
      <w:tr w:rsidR="00F13EF7" w14:paraId="185E207E" w14:textId="77777777" w:rsidTr="00752AC1">
        <w:trPr>
          <w:trHeight w:val="986"/>
          <w:jc w:val="center"/>
        </w:trPr>
        <w:tc>
          <w:tcPr>
            <w:tcW w:w="646" w:type="dxa"/>
          </w:tcPr>
          <w:p w14:paraId="3270BC8D" w14:textId="77777777" w:rsidR="00F13EF7" w:rsidRDefault="00F13EF7" w:rsidP="00752AC1">
            <w:pPr>
              <w:spacing w:line="440" w:lineRule="exact"/>
              <w:jc w:val="center"/>
              <w:rPr>
                <w:rFonts w:ascii="宋体" w:hAnsi="宋体"/>
              </w:rPr>
            </w:pPr>
            <w:r>
              <w:rPr>
                <w:rFonts w:ascii="宋体" w:hAnsi="宋体" w:hint="eastAsia"/>
              </w:rPr>
              <w:t>资金来源说明</w:t>
            </w:r>
          </w:p>
        </w:tc>
        <w:tc>
          <w:tcPr>
            <w:tcW w:w="10044" w:type="dxa"/>
            <w:gridSpan w:val="14"/>
          </w:tcPr>
          <w:p w14:paraId="29FE35AE" w14:textId="77777777" w:rsidR="00F13EF7" w:rsidRDefault="00F13EF7" w:rsidP="00752AC1">
            <w:pPr>
              <w:spacing w:line="440" w:lineRule="exact"/>
              <w:rPr>
                <w:rFonts w:ascii="宋体" w:hAnsi="宋体"/>
              </w:rPr>
            </w:pPr>
            <w:r>
              <w:rPr>
                <w:rFonts w:ascii="宋体" w:hAnsi="宋体" w:hint="eastAsia"/>
              </w:rPr>
              <w:t> </w:t>
            </w:r>
          </w:p>
        </w:tc>
      </w:tr>
      <w:tr w:rsidR="00F13EF7" w14:paraId="7FE6D4F8" w14:textId="77777777" w:rsidTr="00752AC1">
        <w:trPr>
          <w:trHeight w:val="986"/>
          <w:jc w:val="center"/>
        </w:trPr>
        <w:tc>
          <w:tcPr>
            <w:tcW w:w="646" w:type="dxa"/>
          </w:tcPr>
          <w:p w14:paraId="6E1131CD" w14:textId="77777777" w:rsidR="00F13EF7" w:rsidRDefault="00F13EF7" w:rsidP="00752AC1">
            <w:pPr>
              <w:spacing w:line="440" w:lineRule="exact"/>
              <w:jc w:val="center"/>
              <w:rPr>
                <w:rFonts w:ascii="宋体" w:hAnsi="宋体"/>
              </w:rPr>
            </w:pPr>
            <w:r>
              <w:rPr>
                <w:rFonts w:ascii="宋体" w:hAnsi="宋体" w:hint="eastAsia"/>
              </w:rPr>
              <w:t>会员单位意见</w:t>
            </w:r>
          </w:p>
        </w:tc>
        <w:tc>
          <w:tcPr>
            <w:tcW w:w="10044" w:type="dxa"/>
            <w:gridSpan w:val="14"/>
          </w:tcPr>
          <w:p w14:paraId="24B06FDF" w14:textId="77777777" w:rsidR="00F13EF7" w:rsidRDefault="00F13EF7" w:rsidP="00752AC1">
            <w:pPr>
              <w:spacing w:line="440" w:lineRule="exact"/>
              <w:rPr>
                <w:rFonts w:ascii="宋体" w:hAnsi="宋体"/>
              </w:rPr>
            </w:pPr>
            <w:r>
              <w:rPr>
                <w:rFonts w:ascii="宋体" w:hAnsi="宋体" w:hint="eastAsia"/>
              </w:rPr>
              <w:t xml:space="preserve">　</w:t>
            </w:r>
          </w:p>
          <w:p w14:paraId="1FC09528" w14:textId="77777777" w:rsidR="00F13EF7" w:rsidRDefault="00F13EF7" w:rsidP="00752AC1">
            <w:pPr>
              <w:spacing w:line="440" w:lineRule="exact"/>
              <w:rPr>
                <w:rFonts w:ascii="宋体" w:hAnsi="宋体"/>
              </w:rPr>
            </w:pPr>
            <w:r>
              <w:rPr>
                <w:rFonts w:ascii="宋体" w:hAnsi="宋体" w:hint="eastAsia"/>
              </w:rPr>
              <w:t xml:space="preserve">　　</w:t>
            </w:r>
          </w:p>
          <w:p w14:paraId="3A26DC86" w14:textId="77777777" w:rsidR="00F13EF7" w:rsidRDefault="00F13EF7" w:rsidP="00752AC1">
            <w:pPr>
              <w:spacing w:line="440" w:lineRule="exact"/>
              <w:rPr>
                <w:rFonts w:ascii="宋体" w:hAnsi="宋体"/>
              </w:rPr>
            </w:pPr>
            <w:r>
              <w:rPr>
                <w:rFonts w:ascii="宋体" w:hAnsi="宋体" w:hint="eastAsia"/>
              </w:rPr>
              <w:t>会员单位盖章：                                负责人签字：                       年   月   日</w:t>
            </w:r>
          </w:p>
        </w:tc>
      </w:tr>
      <w:tr w:rsidR="00F13EF7" w14:paraId="78DFC969" w14:textId="77777777" w:rsidTr="00752AC1">
        <w:trPr>
          <w:trHeight w:val="806"/>
          <w:jc w:val="center"/>
        </w:trPr>
        <w:tc>
          <w:tcPr>
            <w:tcW w:w="646" w:type="dxa"/>
          </w:tcPr>
          <w:p w14:paraId="55853B8F" w14:textId="77777777" w:rsidR="00F13EF7" w:rsidRDefault="00F13EF7" w:rsidP="00752AC1">
            <w:pPr>
              <w:spacing w:line="440" w:lineRule="exact"/>
              <w:jc w:val="center"/>
              <w:rPr>
                <w:rFonts w:ascii="宋体" w:hAnsi="宋体"/>
              </w:rPr>
            </w:pPr>
            <w:r>
              <w:rPr>
                <w:rFonts w:ascii="宋体" w:hAnsi="宋体" w:hint="eastAsia"/>
              </w:rPr>
              <w:t xml:space="preserve">交易所 </w:t>
            </w:r>
          </w:p>
          <w:p w14:paraId="734AB463" w14:textId="77777777" w:rsidR="00F13EF7" w:rsidRDefault="00F13EF7" w:rsidP="00752AC1">
            <w:pPr>
              <w:spacing w:line="440" w:lineRule="exact"/>
              <w:jc w:val="center"/>
              <w:rPr>
                <w:rFonts w:ascii="宋体" w:hAnsi="宋体"/>
              </w:rPr>
            </w:pPr>
            <w:r>
              <w:rPr>
                <w:rFonts w:ascii="宋体" w:hAnsi="宋体" w:hint="eastAsia"/>
              </w:rPr>
              <w:t>意见</w:t>
            </w:r>
          </w:p>
        </w:tc>
        <w:tc>
          <w:tcPr>
            <w:tcW w:w="10044" w:type="dxa"/>
            <w:gridSpan w:val="14"/>
          </w:tcPr>
          <w:p w14:paraId="13F73932" w14:textId="77777777" w:rsidR="00F13EF7" w:rsidRDefault="00F13EF7" w:rsidP="00752AC1">
            <w:pPr>
              <w:spacing w:line="440" w:lineRule="exact"/>
              <w:rPr>
                <w:rFonts w:ascii="宋体" w:hAnsi="宋体"/>
              </w:rPr>
            </w:pPr>
            <w:r>
              <w:rPr>
                <w:rFonts w:ascii="宋体" w:hAnsi="宋体" w:hint="eastAsia"/>
              </w:rPr>
              <w:t xml:space="preserve">　</w:t>
            </w:r>
          </w:p>
          <w:p w14:paraId="0E59F721" w14:textId="77777777" w:rsidR="00F13EF7" w:rsidRDefault="00F13EF7" w:rsidP="00752AC1">
            <w:pPr>
              <w:spacing w:line="440" w:lineRule="exact"/>
              <w:rPr>
                <w:rFonts w:ascii="宋体" w:hAnsi="宋体"/>
              </w:rPr>
            </w:pPr>
          </w:p>
          <w:p w14:paraId="2C6A56CD" w14:textId="77777777" w:rsidR="00F13EF7" w:rsidRDefault="00F13EF7" w:rsidP="00752AC1">
            <w:pPr>
              <w:spacing w:line="440" w:lineRule="exact"/>
              <w:rPr>
                <w:rFonts w:ascii="宋体" w:hAnsi="宋体"/>
              </w:rPr>
            </w:pPr>
            <w:r>
              <w:rPr>
                <w:rFonts w:ascii="宋体" w:hAnsi="宋体" w:hint="eastAsia"/>
              </w:rPr>
              <w:t xml:space="preserve">　</w:t>
            </w:r>
          </w:p>
          <w:p w14:paraId="0690B797" w14:textId="77777777" w:rsidR="00F13EF7" w:rsidRDefault="00F13EF7" w:rsidP="00752AC1">
            <w:pPr>
              <w:spacing w:line="440" w:lineRule="exact"/>
              <w:rPr>
                <w:rFonts w:ascii="宋体" w:hAnsi="宋体"/>
              </w:rPr>
            </w:pPr>
            <w:r>
              <w:rPr>
                <w:rFonts w:ascii="宋体" w:hAnsi="宋体" w:hint="eastAsia"/>
              </w:rPr>
              <w:t xml:space="preserve">交易所盖章：                                  负责人签字：                      </w:t>
            </w:r>
            <w:r>
              <w:rPr>
                <w:rFonts w:ascii="宋体" w:hAnsi="宋体"/>
              </w:rPr>
              <w:t xml:space="preserve"> </w:t>
            </w:r>
            <w:r>
              <w:rPr>
                <w:rFonts w:ascii="宋体" w:hAnsi="宋体" w:hint="eastAsia"/>
              </w:rPr>
              <w:t>年   月   日</w:t>
            </w:r>
          </w:p>
        </w:tc>
      </w:tr>
    </w:tbl>
    <w:p w14:paraId="65F7689C" w14:textId="3145A4E1" w:rsidR="00A2554E" w:rsidRPr="00FE02D1" w:rsidRDefault="00A2554E" w:rsidP="00FE02D1"/>
    <w:sectPr w:rsidR="00A2554E" w:rsidRPr="00FE02D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2C334" w14:textId="77777777" w:rsidR="008A739B" w:rsidRDefault="008A739B" w:rsidP="00893161">
      <w:r>
        <w:separator/>
      </w:r>
    </w:p>
  </w:endnote>
  <w:endnote w:type="continuationSeparator" w:id="0">
    <w:p w14:paraId="54C355C0" w14:textId="77777777" w:rsidR="008A739B" w:rsidRDefault="008A739B"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36082"/>
      <w:docPartObj>
        <w:docPartGallery w:val="Page Numbers (Bottom of Page)"/>
        <w:docPartUnique/>
      </w:docPartObj>
    </w:sdtPr>
    <w:sdtEndPr/>
    <w:sdtContent>
      <w:p w14:paraId="784AFEA7" w14:textId="6A3F93B6" w:rsidR="00F13EF7" w:rsidRDefault="00F13EF7">
        <w:pPr>
          <w:pStyle w:val="a7"/>
          <w:jc w:val="center"/>
        </w:pPr>
        <w:r>
          <w:fldChar w:fldCharType="begin"/>
        </w:r>
        <w:r>
          <w:instrText>PAGE   \* MERGEFORMAT</w:instrText>
        </w:r>
        <w:r>
          <w:fldChar w:fldCharType="separate"/>
        </w:r>
        <w:r w:rsidR="00F87503" w:rsidRPr="00F87503">
          <w:rPr>
            <w:noProof/>
            <w:lang w:val="zh-CN"/>
          </w:rPr>
          <w:t>34</w:t>
        </w:r>
        <w:r>
          <w:fldChar w:fldCharType="end"/>
        </w:r>
      </w:p>
    </w:sdtContent>
  </w:sdt>
  <w:p w14:paraId="1BEE3A5B" w14:textId="77777777" w:rsidR="00F13EF7" w:rsidRDefault="00F13E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907052"/>
      <w:docPartObj>
        <w:docPartGallery w:val="Page Numbers (Bottom of Page)"/>
        <w:docPartUnique/>
      </w:docPartObj>
    </w:sdtPr>
    <w:sdtEndPr/>
    <w:sdtContent>
      <w:p w14:paraId="6E8A8EF1" w14:textId="340D5AB7" w:rsidR="003534DB" w:rsidRDefault="003534DB">
        <w:pPr>
          <w:pStyle w:val="a7"/>
          <w:jc w:val="center"/>
        </w:pPr>
        <w:r>
          <w:fldChar w:fldCharType="begin"/>
        </w:r>
        <w:r>
          <w:instrText>PAGE   \* MERGEFORMAT</w:instrText>
        </w:r>
        <w:r>
          <w:fldChar w:fldCharType="separate"/>
        </w:r>
        <w:r w:rsidR="00F87503" w:rsidRPr="00F87503">
          <w:rPr>
            <w:noProof/>
            <w:lang w:val="zh-CN"/>
          </w:rPr>
          <w:t>37</w:t>
        </w:r>
        <w:r>
          <w:fldChar w:fldCharType="end"/>
        </w:r>
      </w:p>
    </w:sdtContent>
  </w:sdt>
  <w:p w14:paraId="549AA6DD" w14:textId="77777777" w:rsidR="003534DB" w:rsidRDefault="003534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BD97A" w14:textId="77777777" w:rsidR="008A739B" w:rsidRDefault="008A739B" w:rsidP="00893161">
      <w:r>
        <w:separator/>
      </w:r>
    </w:p>
  </w:footnote>
  <w:footnote w:type="continuationSeparator" w:id="0">
    <w:p w14:paraId="393D95A2" w14:textId="77777777" w:rsidR="008A739B" w:rsidRDefault="008A739B"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61"/>
    <w:rsid w:val="003534DB"/>
    <w:rsid w:val="00586122"/>
    <w:rsid w:val="00686E4B"/>
    <w:rsid w:val="007B1EC4"/>
    <w:rsid w:val="00893161"/>
    <w:rsid w:val="008A739B"/>
    <w:rsid w:val="00A173AA"/>
    <w:rsid w:val="00A2554E"/>
    <w:rsid w:val="00B57A51"/>
    <w:rsid w:val="00D9293B"/>
    <w:rsid w:val="00E4300E"/>
    <w:rsid w:val="00F13EF7"/>
    <w:rsid w:val="00F87503"/>
    <w:rsid w:val="00FE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52FF"/>
  <w15:chartTrackingRefBased/>
  <w15:docId w15:val="{85F26C09-355D-45AD-90C6-8D49719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893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3161"/>
    <w:rPr>
      <w:rFonts w:ascii="Times New Roman" w:eastAsia="宋体" w:hAnsi="Times New Roman" w:cs="Times New Roman"/>
      <w:sz w:val="18"/>
      <w:szCs w:val="18"/>
    </w:rPr>
  </w:style>
  <w:style w:type="paragraph" w:styleId="a7">
    <w:name w:val="footer"/>
    <w:basedOn w:val="a"/>
    <w:link w:val="a8"/>
    <w:uiPriority w:val="99"/>
    <w:unhideWhenUsed/>
    <w:rsid w:val="00893161"/>
    <w:pPr>
      <w:tabs>
        <w:tab w:val="center" w:pos="4153"/>
        <w:tab w:val="right" w:pos="8306"/>
      </w:tabs>
      <w:snapToGrid w:val="0"/>
      <w:jc w:val="left"/>
    </w:pPr>
    <w:rPr>
      <w:sz w:val="18"/>
      <w:szCs w:val="18"/>
    </w:rPr>
  </w:style>
  <w:style w:type="character" w:customStyle="1" w:styleId="a8">
    <w:name w:val="页脚 字符"/>
    <w:basedOn w:val="a0"/>
    <w:link w:val="a7"/>
    <w:uiPriority w:val="99"/>
    <w:rsid w:val="00893161"/>
    <w:rPr>
      <w:rFonts w:ascii="Times New Roman" w:eastAsia="宋体" w:hAnsi="Times New Roman" w:cs="Times New Roman"/>
      <w:sz w:val="18"/>
      <w:szCs w:val="18"/>
    </w:rPr>
  </w:style>
  <w:style w:type="paragraph" w:styleId="a9">
    <w:name w:val="Normal (Web)"/>
    <w:basedOn w:val="a"/>
    <w:uiPriority w:val="99"/>
    <w:qFormat/>
    <w:rsid w:val="00D9293B"/>
    <w:pPr>
      <w:widowControl/>
      <w:spacing w:before="100" w:beforeAutospacing="1" w:after="100" w:afterAutospacing="1"/>
      <w:jc w:val="left"/>
    </w:pPr>
    <w:rPr>
      <w:rFonts w:ascii="宋体" w:hAnsi="宋体" w:cs="宋体"/>
      <w:kern w:val="0"/>
      <w:sz w:val="24"/>
    </w:rPr>
  </w:style>
  <w:style w:type="paragraph" w:customStyle="1" w:styleId="aa">
    <w:name w:val="修正案正文"/>
    <w:basedOn w:val="a"/>
    <w:next w:val="a"/>
    <w:qFormat/>
    <w:rsid w:val="00D9293B"/>
    <w:pPr>
      <w:spacing w:line="580" w:lineRule="exact"/>
      <w:ind w:firstLineChars="200" w:firstLine="560"/>
    </w:pPr>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e.com.cn/dalianshangpin/fg/fz/6142914/6142922/6146604/2018122716155890813.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ce.com.cn/dalianshangpin/fg/fz/6142914/6142922/6146604/2018122716155879666.docx" TargetMode="External"/><Relationship Id="rId4" Type="http://schemas.openxmlformats.org/officeDocument/2006/relationships/styles" Target="styles.xml"/><Relationship Id="rId9" Type="http://schemas.openxmlformats.org/officeDocument/2006/relationships/hyperlink" Target="http://www.dce.com.cn/dalianshangpin/fg/fz/6142914/6142922/6146604/2018122716154855186.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E6FF3-C1E7-4F51-B3FC-E493B9D45A87}">
  <ds:schemaRefs>
    <ds:schemaRef ds:uri="http://schemas.microsoft.com/sharepoint/v3/contenttype/forms"/>
  </ds:schemaRefs>
</ds:datastoreItem>
</file>

<file path=customXml/itemProps2.xml><?xml version="1.0" encoding="utf-8"?>
<ds:datastoreItem xmlns:ds="http://schemas.openxmlformats.org/officeDocument/2006/customXml" ds:itemID="{19DC22F9-38E7-46D3-BA2C-F8559514C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DE0B5-D66D-417E-8B03-C09C74B0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2485</Words>
  <Characters>14165</Characters>
  <Application>Microsoft Office Word</Application>
  <DocSecurity>0</DocSecurity>
  <Lines>118</Lines>
  <Paragraphs>33</Paragraphs>
  <ScaleCrop>false</ScaleCrop>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hp</cp:lastModifiedBy>
  <cp:revision>2</cp:revision>
  <dcterms:created xsi:type="dcterms:W3CDTF">2019-10-14T10:15:00Z</dcterms:created>
  <dcterms:modified xsi:type="dcterms:W3CDTF">2019-10-14T10:15:00Z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