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drawing>
          <wp:anchor distT="0" distB="0" distL="114300" distR="114300" simplePos="0" relativeHeight="251658240" behindDoc="1" locked="0" layoutInCell="1" allowOverlap="1">
            <wp:simplePos x="0" y="0"/>
            <wp:positionH relativeFrom="column">
              <wp:posOffset>-1111885</wp:posOffset>
            </wp:positionH>
            <wp:positionV relativeFrom="paragraph">
              <wp:posOffset>-990600</wp:posOffset>
            </wp:positionV>
            <wp:extent cx="7630160" cy="10797540"/>
            <wp:effectExtent l="0" t="0" r="8890" b="3810"/>
            <wp:wrapNone/>
            <wp:docPr id="3" name="图片 3" descr="新vi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vi封面"/>
                    <pic:cNvPicPr>
                      <a:picLocks noChangeAspect="1"/>
                    </pic:cNvPicPr>
                  </pic:nvPicPr>
                  <pic:blipFill>
                    <a:blip r:embed="rId7"/>
                    <a:stretch>
                      <a:fillRect/>
                    </a:stretch>
                  </pic:blipFill>
                  <pic:spPr>
                    <a:xfrm>
                      <a:off x="0" y="0"/>
                      <a:ext cx="7630160" cy="10797540"/>
                    </a:xfrm>
                    <a:prstGeom prst="rect">
                      <a:avLst/>
                    </a:prstGeom>
                    <a:noFill/>
                    <a:ln w="9525">
                      <a:noFill/>
                    </a:ln>
                  </pic:spPr>
                </pic:pic>
              </a:graphicData>
            </a:graphic>
          </wp:anchor>
        </w:drawing>
      </w:r>
      <w:r>
        <w:drawing>
          <wp:anchor distT="0" distB="0" distL="114300" distR="114300" simplePos="0" relativeHeight="251661312" behindDoc="0" locked="0" layoutInCell="1" allowOverlap="1">
            <wp:simplePos x="0" y="0"/>
            <wp:positionH relativeFrom="column">
              <wp:posOffset>3983355</wp:posOffset>
            </wp:positionH>
            <wp:positionV relativeFrom="paragraph">
              <wp:posOffset>-640080</wp:posOffset>
            </wp:positionV>
            <wp:extent cx="2074545" cy="739140"/>
            <wp:effectExtent l="0" t="0" r="0" b="0"/>
            <wp:wrapNone/>
            <wp:docPr id="2" name="图片 2"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期新vi短称(越秀新版)"/>
                    <pic:cNvPicPr>
                      <a:picLocks noChangeAspect="1"/>
                    </pic:cNvPicPr>
                  </pic:nvPicPr>
                  <pic:blipFill>
                    <a:blip r:embed="rId8"/>
                    <a:stretch>
                      <a:fillRect/>
                    </a:stretch>
                  </pic:blipFill>
                  <pic:spPr>
                    <a:xfrm>
                      <a:off x="0" y="0"/>
                      <a:ext cx="2074545" cy="739140"/>
                    </a:xfrm>
                    <a:prstGeom prst="rect">
                      <a:avLst/>
                    </a:prstGeom>
                    <a:noFill/>
                    <a:ln w="9525">
                      <a:noFill/>
                    </a:ln>
                  </pic:spPr>
                </pic:pic>
              </a:graphicData>
            </a:graphic>
          </wp:anchor>
        </w:drawing>
      </w:r>
      <w:r>
        <w:rPr>
          <w:rFonts w:hint="eastAsia"/>
        </w:rPr>
        <w:t xml:space="preserve"> </w:t>
      </w:r>
    </w:p>
    <w:p>
      <w:pPr>
        <w:pStyle w:val="8"/>
        <w:spacing w:line="360" w:lineRule="auto"/>
        <w:jc w:val="center"/>
        <w:rPr>
          <w:rFonts w:hint="eastAsia" w:ascii="新宋体" w:hAnsi="新宋体" w:eastAsia="新宋体"/>
          <w:color w:val="FFFFFF"/>
          <w:kern w:val="2"/>
          <w:sz w:val="36"/>
          <w:szCs w:val="36"/>
        </w:rPr>
      </w:pPr>
    </w:p>
    <w:p>
      <w:pPr>
        <w:pStyle w:val="8"/>
        <w:tabs>
          <w:tab w:val="left" w:pos="5145"/>
        </w:tabs>
        <w:spacing w:line="360" w:lineRule="auto"/>
        <w:jc w:val="left"/>
        <w:rPr>
          <w:rFonts w:hint="eastAsia" w:ascii="新宋体" w:hAnsi="新宋体" w:eastAsia="新宋体"/>
          <w:color w:val="FFFFFF"/>
          <w:kern w:val="2"/>
          <w:sz w:val="36"/>
          <w:szCs w:val="36"/>
        </w:rPr>
      </w:pPr>
      <w:r>
        <w:rPr>
          <w:rFonts w:ascii="新宋体" w:hAnsi="新宋体" w:eastAsia="新宋体"/>
          <w:color w:val="FFFFFF"/>
          <w:kern w:val="2"/>
          <w:sz w:val="36"/>
          <w:szCs w:val="36"/>
        </w:rPr>
        <w:tab/>
      </w: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r>
        <w:rPr>
          <w:color w:val="FFFFFF"/>
        </w:rPr>
        <mc:AlternateContent>
          <mc:Choice Requires="wps">
            <w:drawing>
              <wp:anchor distT="0" distB="0" distL="114300" distR="114300" simplePos="0" relativeHeight="251659264" behindDoc="0" locked="0" layoutInCell="1" allowOverlap="1">
                <wp:simplePos x="0" y="0"/>
                <wp:positionH relativeFrom="column">
                  <wp:posOffset>-1000760</wp:posOffset>
                </wp:positionH>
                <wp:positionV relativeFrom="paragraph">
                  <wp:posOffset>0</wp:posOffset>
                </wp:positionV>
                <wp:extent cx="7363460" cy="6584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63460" cy="658495"/>
                        </a:xfrm>
                        <a:prstGeom prst="rect">
                          <a:avLst/>
                        </a:prstGeom>
                        <a:noFill/>
                        <a:ln w="9525">
                          <a:noFill/>
                        </a:ln>
                      </wps:spPr>
                      <wps:txbx>
                        <w:txbxContent>
                          <w:p>
                            <w:pPr>
                              <w:pStyle w:val="4"/>
                              <w:shd w:val="clear" w:color="auto" w:fill="FFFFFF"/>
                              <w:spacing w:line="524" w:lineRule="atLeast"/>
                              <w:jc w:val="center"/>
                              <w:textAlignment w:val="baseline"/>
                              <w:rPr>
                                <w:rFonts w:hint="eastAsia" w:ascii="黑体" w:hAnsi="微软雅黑" w:eastAsia="黑体"/>
                                <w:b/>
                                <w:color w:val="422100"/>
                                <w:sz w:val="52"/>
                                <w:szCs w:val="52"/>
                              </w:rPr>
                            </w:pPr>
                            <w:r>
                              <w:rPr>
                                <w:rFonts w:hint="eastAsia" w:ascii="黑体" w:hAnsi="微软雅黑" w:eastAsia="黑体"/>
                                <w:b/>
                                <w:color w:val="422100"/>
                                <w:sz w:val="52"/>
                                <w:szCs w:val="52"/>
                              </w:rPr>
                              <w:t>美联储10月缩表 贵金属配置价值下降</w:t>
                            </w:r>
                          </w:p>
                        </w:txbxContent>
                      </wps:txbx>
                      <wps:bodyPr upright="1"/>
                    </wps:wsp>
                  </a:graphicData>
                </a:graphic>
              </wp:anchor>
            </w:drawing>
          </mc:Choice>
          <mc:Fallback>
            <w:pict>
              <v:shape id="_x0000_s1026" o:spid="_x0000_s1026" o:spt="202" type="#_x0000_t202" style="position:absolute;left:0pt;margin-left:-78.8pt;margin-top:0pt;height:51.85pt;width:579.8pt;z-index:251659264;mso-width-relative:page;mso-height-relative:page;" filled="f" stroked="f" coordsize="21600,21600" o:gfxdata="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hSEst1gAAAAoBAAAPAAAAAAAAAAEAIAAAACIAAABk&#10;cnMvZG93bnJldi54bWxQSwECFAAUAAAACACHTuJA5T/2WpYBAAAJAwAADgAAAAAAAAABACAAAAAl&#10;AQAAZHJzL2Uyb0RvYy54bWxQSwUGAAAAAAYABgBZAQAALQUAAAAA&#10;">
                <v:fill on="f" focussize="0,0"/>
                <v:stroke on="f"/>
                <v:imagedata o:title=""/>
                <o:lock v:ext="edit" aspectratio="f"/>
                <v:textbox>
                  <w:txbxContent>
                    <w:p>
                      <w:pPr>
                        <w:pStyle w:val="4"/>
                        <w:shd w:val="clear" w:color="auto" w:fill="FFFFFF"/>
                        <w:spacing w:line="524" w:lineRule="atLeast"/>
                        <w:jc w:val="center"/>
                        <w:textAlignment w:val="baseline"/>
                        <w:rPr>
                          <w:rFonts w:hint="eastAsia" w:ascii="黑体" w:hAnsi="微软雅黑" w:eastAsia="黑体"/>
                          <w:b/>
                          <w:color w:val="422100"/>
                          <w:sz w:val="52"/>
                          <w:szCs w:val="52"/>
                        </w:rPr>
                      </w:pPr>
                      <w:r>
                        <w:rPr>
                          <w:rFonts w:hint="eastAsia" w:ascii="黑体" w:hAnsi="微软雅黑" w:eastAsia="黑体"/>
                          <w:b/>
                          <w:color w:val="422100"/>
                          <w:sz w:val="52"/>
                          <w:szCs w:val="52"/>
                        </w:rPr>
                        <w:t>美联储10月缩表 贵金属配置价值下降</w:t>
                      </w:r>
                    </w:p>
                  </w:txbxContent>
                </v:textbox>
              </v:shape>
            </w:pict>
          </mc:Fallback>
        </mc:AlternateContent>
      </w: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微软雅黑" w:hAnsi="微软雅黑" w:eastAsia="微软雅黑"/>
          <w:color w:val="FFFFFF"/>
          <w:kern w:val="2"/>
          <w:sz w:val="36"/>
          <w:szCs w:val="36"/>
        </w:rPr>
      </w:pPr>
      <w:r>
        <w:rPr>
          <w:rFonts w:hint="eastAsia" w:ascii="新宋体" w:hAnsi="新宋体" w:eastAsia="新宋体"/>
          <w:color w:val="FFFFFF"/>
          <w:kern w:val="2"/>
          <w:sz w:val="36"/>
          <w:szCs w:val="36"/>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297180</wp:posOffset>
                </wp:positionV>
                <wp:extent cx="3086100" cy="89154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3086100" cy="891540"/>
                        </a:xfrm>
                        <a:prstGeom prst="rect">
                          <a:avLst/>
                        </a:prstGeom>
                        <a:noFill/>
                        <a:ln w="9525">
                          <a:noFill/>
                        </a:ln>
                      </wps:spPr>
                      <wps:txbx>
                        <w:txbxContent>
                          <w:p>
                            <w:pPr>
                              <w:jc w:val="center"/>
                              <w:rPr>
                                <w:rFonts w:hint="eastAsia" w:ascii="黑体" w:hAnsi="微软雅黑" w:eastAsia="黑体"/>
                                <w:color w:val="422100"/>
                                <w:sz w:val="24"/>
                                <w:szCs w:val="24"/>
                              </w:rPr>
                            </w:pPr>
                            <w:r>
                              <w:rPr>
                                <w:rFonts w:hint="eastAsia" w:ascii="黑体" w:hAnsi="微软雅黑" w:eastAsia="黑体"/>
                                <w:color w:val="422100"/>
                                <w:sz w:val="24"/>
                                <w:szCs w:val="24"/>
                              </w:rPr>
                              <w:t>广州期货 薛丽冰</w:t>
                            </w:r>
                          </w:p>
                          <w:p>
                            <w:pPr>
                              <w:jc w:val="center"/>
                              <w:rPr>
                                <w:rFonts w:hint="eastAsia" w:ascii="黑体" w:hAnsi="微软雅黑" w:eastAsia="黑体"/>
                                <w:color w:val="422100"/>
                                <w:sz w:val="24"/>
                                <w:szCs w:val="24"/>
                              </w:rPr>
                            </w:pPr>
                          </w:p>
                          <w:p>
                            <w:pPr>
                              <w:jc w:val="center"/>
                              <w:rPr>
                                <w:rFonts w:hint="eastAsia" w:ascii="黑体" w:hAnsi="微软雅黑" w:eastAsia="黑体"/>
                                <w:color w:val="422100"/>
                                <w:sz w:val="24"/>
                                <w:szCs w:val="24"/>
                              </w:rPr>
                            </w:pPr>
                            <w:r>
                              <w:rPr>
                                <w:rFonts w:hint="eastAsia" w:ascii="黑体" w:hAnsi="微软雅黑" w:eastAsia="黑体"/>
                                <w:color w:val="422100"/>
                                <w:sz w:val="24"/>
                                <w:szCs w:val="24"/>
                              </w:rPr>
                              <w:t>2017年</w:t>
                            </w:r>
                            <w:r>
                              <w:rPr>
                                <w:rFonts w:hint="eastAsia" w:ascii="黑体" w:hAnsi="微软雅黑" w:eastAsia="黑体"/>
                                <w:color w:val="422100"/>
                                <w:sz w:val="24"/>
                                <w:szCs w:val="24"/>
                                <w:lang w:val="en-US" w:eastAsia="zh-CN"/>
                              </w:rPr>
                              <w:t>9</w:t>
                            </w:r>
                            <w:r>
                              <w:rPr>
                                <w:rFonts w:hint="eastAsia" w:ascii="黑体" w:hAnsi="微软雅黑" w:eastAsia="黑体"/>
                                <w:color w:val="422100"/>
                                <w:sz w:val="24"/>
                                <w:szCs w:val="24"/>
                              </w:rPr>
                              <w:t>月</w:t>
                            </w:r>
                            <w:r>
                              <w:rPr>
                                <w:rFonts w:hint="eastAsia" w:ascii="黑体" w:hAnsi="微软雅黑" w:eastAsia="黑体"/>
                                <w:color w:val="422100"/>
                                <w:sz w:val="24"/>
                                <w:szCs w:val="24"/>
                                <w:lang w:val="en-US" w:eastAsia="zh-CN"/>
                              </w:rPr>
                              <w:t>25</w:t>
                            </w:r>
                            <w:r>
                              <w:rPr>
                                <w:rFonts w:hint="eastAsia" w:ascii="黑体" w:hAnsi="微软雅黑" w:eastAsia="黑体"/>
                                <w:color w:val="422100"/>
                                <w:sz w:val="24"/>
                                <w:szCs w:val="24"/>
                              </w:rPr>
                              <w:t>日</w:t>
                            </w:r>
                          </w:p>
                        </w:txbxContent>
                      </wps:txbx>
                      <wps:bodyPr upright="1"/>
                    </wps:wsp>
                  </a:graphicData>
                </a:graphic>
              </wp:anchor>
            </w:drawing>
          </mc:Choice>
          <mc:Fallback>
            <w:pict>
              <v:shape id="文本框 5" o:spid="_x0000_s1026" o:spt="202" type="#_x0000_t202" style="position:absolute;left:0pt;margin-left:90pt;margin-top:23.4pt;height:70.2pt;width:243pt;z-index:251660288;mso-width-relative:page;mso-height-relative:page;" filled="f" stroked="f" coordsize="21600,21600" o:gfxdata="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&#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kPwLnVAAAACgEAAA8AAAAAAAAAAQAgAAAAIgAAAGRy&#10;cy9kb3ducmV2LnhtbFBLAQIUABQAAAAIAIdO4kChLypAlgEAAAoDAAAOAAAAAAAAAAEAIAAAACQB&#10;AABkcnMvZTJvRG9jLnhtbFBLBQYAAAAABgAGAFkBAAAsBQAAAAA=&#10;">
                <v:fill on="f" focussize="0,0"/>
                <v:stroke on="f"/>
                <v:imagedata o:title=""/>
                <o:lock v:ext="edit" aspectratio="f"/>
                <v:textbox>
                  <w:txbxContent>
                    <w:p>
                      <w:pPr>
                        <w:jc w:val="center"/>
                        <w:rPr>
                          <w:rFonts w:hint="eastAsia" w:ascii="黑体" w:hAnsi="微软雅黑" w:eastAsia="黑体"/>
                          <w:color w:val="422100"/>
                          <w:sz w:val="24"/>
                          <w:szCs w:val="24"/>
                        </w:rPr>
                      </w:pPr>
                      <w:r>
                        <w:rPr>
                          <w:rFonts w:hint="eastAsia" w:ascii="黑体" w:hAnsi="微软雅黑" w:eastAsia="黑体"/>
                          <w:color w:val="422100"/>
                          <w:sz w:val="24"/>
                          <w:szCs w:val="24"/>
                        </w:rPr>
                        <w:t>广州期货 薛丽冰</w:t>
                      </w:r>
                    </w:p>
                    <w:p>
                      <w:pPr>
                        <w:jc w:val="center"/>
                        <w:rPr>
                          <w:rFonts w:hint="eastAsia" w:ascii="黑体" w:hAnsi="微软雅黑" w:eastAsia="黑体"/>
                          <w:color w:val="422100"/>
                          <w:sz w:val="24"/>
                          <w:szCs w:val="24"/>
                        </w:rPr>
                      </w:pPr>
                    </w:p>
                    <w:p>
                      <w:pPr>
                        <w:jc w:val="center"/>
                        <w:rPr>
                          <w:rFonts w:hint="eastAsia" w:ascii="黑体" w:hAnsi="微软雅黑" w:eastAsia="黑体"/>
                          <w:color w:val="422100"/>
                          <w:sz w:val="24"/>
                          <w:szCs w:val="24"/>
                        </w:rPr>
                      </w:pPr>
                      <w:r>
                        <w:rPr>
                          <w:rFonts w:hint="eastAsia" w:ascii="黑体" w:hAnsi="微软雅黑" w:eastAsia="黑体"/>
                          <w:color w:val="422100"/>
                          <w:sz w:val="24"/>
                          <w:szCs w:val="24"/>
                        </w:rPr>
                        <w:t>2017年</w:t>
                      </w:r>
                      <w:r>
                        <w:rPr>
                          <w:rFonts w:hint="eastAsia" w:ascii="黑体" w:hAnsi="微软雅黑" w:eastAsia="黑体"/>
                          <w:color w:val="422100"/>
                          <w:sz w:val="24"/>
                          <w:szCs w:val="24"/>
                          <w:lang w:val="en-US" w:eastAsia="zh-CN"/>
                        </w:rPr>
                        <w:t>9</w:t>
                      </w:r>
                      <w:r>
                        <w:rPr>
                          <w:rFonts w:hint="eastAsia" w:ascii="黑体" w:hAnsi="微软雅黑" w:eastAsia="黑体"/>
                          <w:color w:val="422100"/>
                          <w:sz w:val="24"/>
                          <w:szCs w:val="24"/>
                        </w:rPr>
                        <w:t>月</w:t>
                      </w:r>
                      <w:r>
                        <w:rPr>
                          <w:rFonts w:hint="eastAsia" w:ascii="黑体" w:hAnsi="微软雅黑" w:eastAsia="黑体"/>
                          <w:color w:val="422100"/>
                          <w:sz w:val="24"/>
                          <w:szCs w:val="24"/>
                          <w:lang w:val="en-US" w:eastAsia="zh-CN"/>
                        </w:rPr>
                        <w:t>25</w:t>
                      </w:r>
                      <w:r>
                        <w:rPr>
                          <w:rFonts w:hint="eastAsia" w:ascii="黑体" w:hAnsi="微软雅黑" w:eastAsia="黑体"/>
                          <w:color w:val="422100"/>
                          <w:sz w:val="24"/>
                          <w:szCs w:val="24"/>
                        </w:rPr>
                        <w:t>日</w:t>
                      </w:r>
                    </w:p>
                  </w:txbxContent>
                </v:textbox>
              </v:shape>
            </w:pict>
          </mc:Fallback>
        </mc:AlternateContent>
      </w: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r>
        <w:rPr>
          <w:rFonts w:hint="eastAsia" w:ascii="新宋体" w:hAnsi="新宋体" w:eastAsia="新宋体"/>
          <w:color w:val="FFFFFF"/>
          <w:kern w:val="2"/>
          <w:sz w:val="36"/>
          <w:szCs w:val="36"/>
        </w:rPr>
        <mc:AlternateContent>
          <mc:Choice Requires="wps">
            <w:drawing>
              <wp:anchor distT="0" distB="0" distL="114300" distR="114300" simplePos="0" relativeHeight="251662336" behindDoc="0" locked="0" layoutInCell="1" allowOverlap="1">
                <wp:simplePos x="0" y="0"/>
                <wp:positionH relativeFrom="column">
                  <wp:posOffset>2038350</wp:posOffset>
                </wp:positionH>
                <wp:positionV relativeFrom="paragraph">
                  <wp:posOffset>57150</wp:posOffset>
                </wp:positionV>
                <wp:extent cx="2857500" cy="4953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2857500" cy="495300"/>
                        </a:xfrm>
                        <a:prstGeom prst="rect">
                          <a:avLst/>
                        </a:prstGeom>
                        <a:noFill/>
                        <a:ln w="9525">
                          <a:noFill/>
                        </a:ln>
                      </wps:spPr>
                      <wps:txbx>
                        <w:txbxContent>
                          <w:p>
                            <w:pPr>
                              <w:ind w:firstLine="100" w:firstLineChars="50"/>
                              <w:rPr>
                                <w:rFonts w:ascii="Arial" w:hAnsi="Arial" w:cs="Arial"/>
                                <w:color w:val="FFFFFF"/>
                                <w:sz w:val="20"/>
                                <w:lang w:val="de-DE"/>
                              </w:rPr>
                            </w:pPr>
                            <w:r>
                              <w:rPr>
                                <w:rFonts w:hint="eastAsia" w:ascii="Arial" w:hAnsi="Arial" w:cs="Arial"/>
                                <w:color w:val="FFFFFF"/>
                                <w:sz w:val="20"/>
                                <w:lang w:val="de-DE"/>
                              </w:rPr>
                              <w:t>400-020-6388</w:t>
                            </w:r>
                            <w:r>
                              <w:rPr>
                                <w:rFonts w:ascii="Arial" w:hAnsi="Arial" w:cs="Arial"/>
                                <w:color w:val="FFFFFF"/>
                                <w:sz w:val="20"/>
                                <w:lang w:val="de-DE"/>
                              </w:rPr>
                              <w:t xml:space="preserve"> │ </w:t>
                            </w:r>
                            <w:r>
                              <w:rPr>
                                <w:rFonts w:hint="eastAsia" w:ascii="Arial" w:hAnsi="Arial" w:cs="Arial"/>
                                <w:color w:val="FFFFFF"/>
                                <w:sz w:val="20"/>
                                <w:lang w:val="de-DE"/>
                              </w:rPr>
                              <w:t xml:space="preserve"> </w:t>
                            </w:r>
                            <w:r>
                              <w:rPr>
                                <w:rFonts w:ascii="Arial" w:hAnsi="Arial" w:cs="Arial"/>
                                <w:color w:val="FFFFFF"/>
                                <w:sz w:val="20"/>
                                <w:lang w:val="de-DE"/>
                              </w:rPr>
                              <w:t>www.gzf2010.com.cn</w:t>
                            </w:r>
                          </w:p>
                        </w:txbxContent>
                      </wps:txbx>
                      <wps:bodyPr upright="1"/>
                    </wps:wsp>
                  </a:graphicData>
                </a:graphic>
              </wp:anchor>
            </w:drawing>
          </mc:Choice>
          <mc:Fallback>
            <w:pict>
              <v:shape id="文本框 6" o:spid="_x0000_s1026" o:spt="202" type="#_x0000_t202" style="position:absolute;left:0pt;margin-left:160.5pt;margin-top:4.5pt;height:39pt;width:225pt;z-index:251662336;mso-width-relative:page;mso-height-relative:page;" filled="f" stroked="f" coordsize="21600,21600" o:gfxdata="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gaP03dUAAAAIAQAADwAAAAAAAAABACAAAAAiAAAA&#10;ZHJzL2Rvd25yZXYueG1sUEsBAhQAFAAAAAgAh07iQC6sAVuYAQAACgMAAA4AAAAAAAAAAQAgAAAA&#10;JAEAAGRycy9lMm9Eb2MueG1sUEsFBgAAAAAGAAYAWQEAAC4FAAAAAA==&#10;">
                <v:fill on="f" focussize="0,0"/>
                <v:stroke on="f"/>
                <v:imagedata o:title=""/>
                <o:lock v:ext="edit" aspectratio="f"/>
                <v:textbox>
                  <w:txbxContent>
                    <w:p>
                      <w:pPr>
                        <w:ind w:firstLine="100" w:firstLineChars="50"/>
                        <w:rPr>
                          <w:rFonts w:ascii="Arial" w:hAnsi="Arial" w:cs="Arial"/>
                          <w:color w:val="FFFFFF"/>
                          <w:sz w:val="20"/>
                          <w:lang w:val="de-DE"/>
                        </w:rPr>
                      </w:pPr>
                      <w:r>
                        <w:rPr>
                          <w:rFonts w:hint="eastAsia" w:ascii="Arial" w:hAnsi="Arial" w:cs="Arial"/>
                          <w:color w:val="FFFFFF"/>
                          <w:sz w:val="20"/>
                          <w:lang w:val="de-DE"/>
                        </w:rPr>
                        <w:t>400-020-6388</w:t>
                      </w:r>
                      <w:r>
                        <w:rPr>
                          <w:rFonts w:ascii="Arial" w:hAnsi="Arial" w:cs="Arial"/>
                          <w:color w:val="FFFFFF"/>
                          <w:sz w:val="20"/>
                          <w:lang w:val="de-DE"/>
                        </w:rPr>
                        <w:t xml:space="preserve"> │ </w:t>
                      </w:r>
                      <w:r>
                        <w:rPr>
                          <w:rFonts w:hint="eastAsia" w:ascii="Arial" w:hAnsi="Arial" w:cs="Arial"/>
                          <w:color w:val="FFFFFF"/>
                          <w:sz w:val="20"/>
                          <w:lang w:val="de-DE"/>
                        </w:rPr>
                        <w:t xml:space="preserve"> </w:t>
                      </w:r>
                      <w:r>
                        <w:rPr>
                          <w:rFonts w:ascii="Arial" w:hAnsi="Arial" w:cs="Arial"/>
                          <w:color w:val="FFFFFF"/>
                          <w:sz w:val="20"/>
                          <w:lang w:val="de-DE"/>
                        </w:rPr>
                        <w:t>www.gzf2010.com.cn</w:t>
                      </w:r>
                    </w:p>
                  </w:txbxContent>
                </v:textbox>
              </v:shape>
            </w:pict>
          </mc:Fallback>
        </mc:AlternateContent>
      </w:r>
      <w:r>
        <w:drawing>
          <wp:anchor distT="0" distB="0" distL="114300" distR="114300" simplePos="0" relativeHeight="251663360" behindDoc="0" locked="0" layoutInCell="1" allowOverlap="1">
            <wp:simplePos x="0" y="0"/>
            <wp:positionH relativeFrom="column">
              <wp:posOffset>1771650</wp:posOffset>
            </wp:positionH>
            <wp:positionV relativeFrom="paragraph">
              <wp:posOffset>158115</wp:posOffset>
            </wp:positionV>
            <wp:extent cx="323850" cy="129540"/>
            <wp:effectExtent l="0" t="0" r="0" b="3810"/>
            <wp:wrapNone/>
            <wp:docPr id="17" name="图片 7" descr="dian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dianhua"/>
                    <pic:cNvPicPr>
                      <a:picLocks noChangeAspect="1"/>
                    </pic:cNvPicPr>
                  </pic:nvPicPr>
                  <pic:blipFill>
                    <a:blip r:embed="rId9"/>
                    <a:stretch>
                      <a:fillRect/>
                    </a:stretch>
                  </pic:blipFill>
                  <pic:spPr>
                    <a:xfrm>
                      <a:off x="0" y="0"/>
                      <a:ext cx="323850" cy="129540"/>
                    </a:xfrm>
                    <a:prstGeom prst="rect">
                      <a:avLst/>
                    </a:prstGeom>
                    <a:noFill/>
                    <a:ln w="9525">
                      <a:noFill/>
                    </a:ln>
                  </pic:spPr>
                </pic:pic>
              </a:graphicData>
            </a:graphic>
          </wp:anchor>
        </w:drawing>
      </w:r>
    </w:p>
    <w:p>
      <w:pPr>
        <w:pStyle w:val="8"/>
        <w:spacing w:line="360" w:lineRule="auto"/>
        <w:rPr>
          <w:rFonts w:hint="eastAsia" w:ascii="微软雅黑" w:hAnsi="微软雅黑" w:eastAsia="微软雅黑"/>
          <w:color w:val="FFFFFF"/>
          <w:kern w:val="2"/>
          <w:sz w:val="28"/>
          <w:szCs w:val="28"/>
        </w:rPr>
      </w:pPr>
      <w:r>
        <w:rPr>
          <w:rFonts w:hint="eastAsia" w:ascii="新宋体" w:hAnsi="新宋体" w:eastAsia="新宋体"/>
          <w:color w:val="FFFFFF"/>
          <w:kern w:val="2"/>
          <w:sz w:val="36"/>
          <w:szCs w:val="36"/>
        </w:rPr>
        <w:t xml:space="preserve">            </w:t>
      </w:r>
      <w:r>
        <w:rPr>
          <w:rFonts w:hint="eastAsia" w:ascii="微软雅黑" w:hAnsi="微软雅黑" w:eastAsia="微软雅黑"/>
          <w:color w:val="FFFFFF"/>
          <w:kern w:val="2"/>
          <w:sz w:val="36"/>
          <w:szCs w:val="36"/>
        </w:rPr>
        <w:t xml:space="preserve">                      </w:t>
      </w:r>
    </w:p>
    <w:p>
      <w:pPr>
        <w:rPr>
          <w:rFonts w:hint="eastAsia" w:ascii="新宋体" w:hAnsi="新宋体" w:eastAsia="新宋体"/>
          <w:color w:val="FFFFFF"/>
          <w:sz w:val="36"/>
          <w:szCs w:val="36"/>
        </w:rPr>
      </w:pPr>
    </w:p>
    <w:p>
      <w:pPr>
        <w:spacing w:line="360" w:lineRule="auto"/>
        <w:jc w:val="center"/>
        <w:rPr>
          <w:rFonts w:hint="eastAsia"/>
          <w:b/>
          <w:sz w:val="28"/>
          <w:szCs w:val="28"/>
          <w:lang w:eastAsia="zh-CN"/>
        </w:rPr>
      </w:pPr>
      <w:r>
        <w:rPr>
          <w:rFonts w:hint="eastAsia"/>
          <w:b/>
          <w:sz w:val="28"/>
          <w:szCs w:val="28"/>
          <w:lang w:eastAsia="zh-CN"/>
        </w:rPr>
        <w:t>美联储10月缩表 贵金属配置价值下降</w:t>
      </w:r>
    </w:p>
    <w:p>
      <w:pPr>
        <w:spacing w:line="360" w:lineRule="auto"/>
        <w:jc w:val="center"/>
        <w:rPr>
          <w:rFonts w:ascii="宋体" w:hAnsi="宋体"/>
          <w:szCs w:val="21"/>
        </w:rPr>
      </w:pPr>
      <w:r>
        <w:rPr>
          <w:rFonts w:hint="eastAsia" w:ascii="宋体" w:hAnsi="宋体"/>
          <w:szCs w:val="21"/>
        </w:rPr>
        <w:t>广州期货薛丽冰（从业资格号：</w:t>
      </w:r>
      <w:r>
        <w:rPr>
          <w:rFonts w:ascii="宋体" w:hAnsi="宋体"/>
          <w:szCs w:val="21"/>
        </w:rPr>
        <w:t>F</w:t>
      </w:r>
      <w:r>
        <w:rPr>
          <w:rFonts w:hint="eastAsia" w:ascii="宋体" w:hAnsi="宋体"/>
          <w:szCs w:val="21"/>
        </w:rPr>
        <w:t>0279850）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rPr>
          <w:rFonts w:hint="eastAsia" w:ascii="宋体" w:hAnsi="宋体" w:eastAsia="宋体"/>
          <w:szCs w:val="21"/>
          <w:lang w:eastAsia="zh-CN"/>
        </w:rPr>
      </w:pPr>
      <w:r>
        <w:rPr>
          <w:rFonts w:hint="eastAsia" w:ascii="宋体" w:hAnsi="宋体"/>
          <w:szCs w:val="21"/>
          <w:lang w:eastAsia="zh-CN"/>
        </w:rPr>
        <w:t>三季度，由于受到美朝局势紧张的影响，沪金期货无视美联储加息周期，自年内的低点</w:t>
      </w:r>
      <w:r>
        <w:rPr>
          <w:rFonts w:hint="eastAsia" w:ascii="宋体" w:hAnsi="宋体"/>
          <w:szCs w:val="21"/>
          <w:lang w:val="en-US" w:eastAsia="zh-CN"/>
        </w:rPr>
        <w:t>268元/千克展开反弹，一度升至285元/千克的高点后重新回落。由于受到美联储货币政策正常化的影响，展望后市，我们认为四季度黄金走势偏弱。</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eastAsia="zh-CN"/>
        </w:rPr>
      </w:pPr>
      <w:r>
        <w:rPr>
          <w:rFonts w:hint="eastAsia" w:ascii="宋体" w:hAnsi="宋体"/>
          <w:sz w:val="24"/>
          <w:szCs w:val="24"/>
          <w:lang w:eastAsia="zh-CN"/>
        </w:rPr>
        <w:t>一、美联储将于10月开启缩表计划</w:t>
      </w:r>
    </w:p>
    <w:p>
      <w:pPr>
        <w:keepNext w:val="0"/>
        <w:keepLines w:val="0"/>
        <w:pageBreakBefore w:val="0"/>
        <w:widowControl/>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ascii="宋体" w:hAnsi="宋体" w:cs="宋体"/>
          <w:color w:val="333333"/>
          <w:kern w:val="0"/>
          <w:szCs w:val="21"/>
        </w:rPr>
      </w:pPr>
      <w:r>
        <w:rPr>
          <w:rFonts w:hint="eastAsia" w:ascii="宋体" w:hAnsi="宋体" w:cs="宋体"/>
          <w:color w:val="333333"/>
          <w:kern w:val="0"/>
          <w:szCs w:val="21"/>
        </w:rPr>
        <w:t>美联储在2017年9月20日发表声明</w:t>
      </w:r>
      <w:r>
        <w:rPr>
          <w:rFonts w:hint="eastAsia" w:ascii="宋体" w:hAnsi="宋体" w:cs="宋体"/>
          <w:color w:val="333333"/>
          <w:kern w:val="0"/>
          <w:szCs w:val="21"/>
          <w:lang w:eastAsia="zh-CN"/>
        </w:rPr>
        <w:t>：</w:t>
      </w:r>
      <w:r>
        <w:rPr>
          <w:rFonts w:hint="eastAsia" w:ascii="宋体" w:hAnsi="宋体" w:cs="宋体"/>
          <w:color w:val="333333"/>
          <w:kern w:val="0"/>
          <w:szCs w:val="21"/>
        </w:rPr>
        <w:t>美国联邦储备委员会的理事会一致投票决定维持利率支付的利率，并将超额准备金率维持在1.25%。</w:t>
      </w:r>
    </w:p>
    <w:p>
      <w:pPr>
        <w:keepNext w:val="0"/>
        <w:keepLines w:val="0"/>
        <w:pageBreakBefore w:val="0"/>
        <w:widowControl/>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ascii="宋体" w:hAnsi="宋体"/>
          <w:color w:val="333333"/>
          <w:szCs w:val="21"/>
        </w:rPr>
      </w:pPr>
      <w:bookmarkStart w:id="0" w:name="_GoBack"/>
      <w:bookmarkEnd w:id="0"/>
      <w:r>
        <w:rPr>
          <w:rFonts w:hint="eastAsia" w:ascii="宋体" w:hAnsi="宋体" w:cs="宋体"/>
          <w:color w:val="333333"/>
          <w:kern w:val="0"/>
          <w:szCs w:val="21"/>
        </w:rPr>
        <w:t>联邦公开市场委员会投票决定授权并指导纽约联邦储备银行的公开市场部门，直到指示，按照以下国内政策指令在系统公开市场账户执行交易:“2017年9月21日生效,联邦公开市场委员会将</w:t>
      </w:r>
      <w:r>
        <w:rPr>
          <w:rFonts w:hint="eastAsia" w:ascii="宋体" w:hAnsi="宋体"/>
          <w:color w:val="333333"/>
          <w:szCs w:val="21"/>
        </w:rPr>
        <w:t>根据需要，指导前台进行公开市场操作，将联邦基金利率维持在1 -</w:t>
      </w:r>
      <w:r>
        <w:rPr>
          <w:rFonts w:hint="eastAsia" w:ascii="宋体" w:hAnsi="宋体"/>
          <w:color w:val="333333"/>
          <w:szCs w:val="21"/>
          <w:lang w:val="en-US" w:eastAsia="zh-CN"/>
        </w:rPr>
        <w:t>1.25</w:t>
      </w:r>
      <w:r>
        <w:rPr>
          <w:rFonts w:hint="eastAsia" w:ascii="宋体" w:hAnsi="宋体"/>
          <w:color w:val="333333"/>
          <w:szCs w:val="21"/>
        </w:rPr>
        <w:t>个百分点的目标区间，</w:t>
      </w:r>
      <w:r>
        <w:rPr>
          <w:rFonts w:hint="eastAsia" w:ascii="宋体" w:hAnsi="宋体" w:cs="宋体"/>
          <w:color w:val="333333"/>
          <w:kern w:val="0"/>
          <w:szCs w:val="21"/>
        </w:rPr>
        <w:t>包括</w:t>
      </w:r>
      <w:r>
        <w:rPr>
          <w:rFonts w:hint="eastAsia" w:ascii="宋体" w:hAnsi="宋体"/>
          <w:color w:val="333333"/>
          <w:szCs w:val="21"/>
        </w:rPr>
        <w:t>通过</w:t>
      </w:r>
      <w:r>
        <w:rPr>
          <w:rFonts w:hint="eastAsia" w:ascii="宋体" w:hAnsi="宋体" w:cs="宋体"/>
          <w:color w:val="333333"/>
          <w:kern w:val="0"/>
          <w:szCs w:val="21"/>
        </w:rPr>
        <w:t>隔夜逆回购操作(逆回购操作期限超过一天,必要时以适应周末,假期,或类似的贸易惯例)提供1.00%</w:t>
      </w:r>
      <w:r>
        <w:rPr>
          <w:rFonts w:hint="eastAsia" w:ascii="宋体" w:hAnsi="宋体"/>
          <w:color w:val="333333"/>
          <w:szCs w:val="21"/>
        </w:rPr>
        <w:t>的利率</w:t>
      </w:r>
      <w:r>
        <w:rPr>
          <w:rFonts w:hint="eastAsia" w:ascii="宋体" w:hAnsi="宋体" w:cs="宋体"/>
          <w:color w:val="333333"/>
          <w:kern w:val="0"/>
          <w:szCs w:val="21"/>
        </w:rPr>
        <w:t>,</w:t>
      </w:r>
      <w:r>
        <w:rPr>
          <w:rFonts w:hint="eastAsia" w:ascii="宋体" w:hAnsi="宋体"/>
          <w:color w:val="333333"/>
          <w:szCs w:val="21"/>
        </w:rPr>
        <w:t xml:space="preserve"> 仅以美国国债的价值为限，直接在公开市场账户中操作，并以每天300亿美元的对手方限额为限。</w:t>
      </w:r>
    </w:p>
    <w:p>
      <w:pPr>
        <w:keepNext w:val="0"/>
        <w:keepLines w:val="0"/>
        <w:pageBreakBefore w:val="0"/>
        <w:widowControl/>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outlineLvl w:val="9"/>
        <w:rPr>
          <w:rFonts w:ascii="宋体" w:hAnsi="宋体" w:cs="宋体"/>
          <w:color w:val="333333"/>
          <w:kern w:val="0"/>
          <w:szCs w:val="21"/>
        </w:rPr>
      </w:pPr>
      <w:r>
        <w:rPr>
          <w:rFonts w:hint="eastAsia" w:ascii="宋体" w:hAnsi="宋体" w:cs="宋体"/>
          <w:color w:val="333333"/>
          <w:kern w:val="0"/>
          <w:szCs w:val="21"/>
        </w:rPr>
        <w:t>委员会</w:t>
      </w:r>
      <w:r>
        <w:rPr>
          <w:rFonts w:ascii="宋体" w:hAnsi="宋体" w:cs="宋体"/>
          <w:color w:val="333333"/>
          <w:kern w:val="0"/>
          <w:szCs w:val="21"/>
        </w:rPr>
        <w:t>负责指导</w:t>
      </w:r>
      <w:r>
        <w:rPr>
          <w:rFonts w:hint="eastAsia" w:ascii="宋体" w:hAnsi="宋体" w:cs="宋体"/>
          <w:color w:val="333333"/>
          <w:kern w:val="0"/>
          <w:szCs w:val="21"/>
        </w:rPr>
        <w:t>前台</w:t>
      </w:r>
      <w:r>
        <w:rPr>
          <w:rFonts w:ascii="宋体" w:hAnsi="宋体" w:cs="宋体"/>
          <w:color w:val="333333"/>
          <w:kern w:val="0"/>
          <w:szCs w:val="21"/>
        </w:rPr>
        <w:t>，在</w:t>
      </w:r>
      <w:r>
        <w:rPr>
          <w:rFonts w:hint="eastAsia" w:ascii="宋体" w:hAnsi="宋体" w:cs="宋体"/>
          <w:color w:val="333333"/>
          <w:kern w:val="0"/>
          <w:szCs w:val="21"/>
        </w:rPr>
        <w:t>9月</w:t>
      </w:r>
      <w:r>
        <w:rPr>
          <w:rFonts w:ascii="宋体" w:hAnsi="宋体" w:cs="宋体"/>
          <w:color w:val="333333"/>
          <w:kern w:val="0"/>
          <w:szCs w:val="21"/>
        </w:rPr>
        <w:t>的拍卖会上继续展期到期的国债</w:t>
      </w:r>
      <w:r>
        <w:rPr>
          <w:rFonts w:hint="eastAsia" w:ascii="宋体" w:hAnsi="宋体" w:cs="宋体"/>
          <w:color w:val="333333"/>
          <w:kern w:val="0"/>
          <w:szCs w:val="21"/>
          <w:lang w:eastAsia="zh-CN"/>
        </w:rPr>
        <w:t>及</w:t>
      </w:r>
      <w:r>
        <w:rPr>
          <w:rFonts w:hint="eastAsia" w:ascii="宋体" w:hAnsi="宋体" w:cs="宋体"/>
          <w:color w:val="333333"/>
          <w:kern w:val="0"/>
          <w:szCs w:val="21"/>
        </w:rPr>
        <w:t>到期</w:t>
      </w:r>
      <w:r>
        <w:rPr>
          <w:rFonts w:ascii="宋体" w:hAnsi="宋体" w:cs="宋体"/>
          <w:color w:val="333333"/>
          <w:kern w:val="0"/>
          <w:szCs w:val="21"/>
        </w:rPr>
        <w:t>的机构债务和机构</w:t>
      </w:r>
      <w:r>
        <w:rPr>
          <w:rFonts w:hint="eastAsia" w:ascii="宋体" w:hAnsi="宋体" w:cs="宋体"/>
          <w:color w:val="333333"/>
          <w:kern w:val="0"/>
          <w:szCs w:val="21"/>
        </w:rPr>
        <w:t>抵押</w:t>
      </w:r>
      <w:r>
        <w:rPr>
          <w:rFonts w:ascii="宋体" w:hAnsi="宋体" w:cs="宋体"/>
          <w:color w:val="333333"/>
          <w:kern w:val="0"/>
          <w:szCs w:val="21"/>
        </w:rPr>
        <w:t>贷款支持</w:t>
      </w:r>
      <w:r>
        <w:rPr>
          <w:rFonts w:hint="eastAsia" w:ascii="宋体" w:hAnsi="宋体" w:cs="宋体"/>
          <w:color w:val="333333"/>
          <w:kern w:val="0"/>
          <w:szCs w:val="21"/>
        </w:rPr>
        <w:t>证券。20</w:t>
      </w:r>
      <w:r>
        <w:rPr>
          <w:rFonts w:ascii="宋体" w:hAnsi="宋体" w:cs="宋体"/>
          <w:color w:val="333333"/>
          <w:kern w:val="0"/>
          <w:szCs w:val="21"/>
        </w:rPr>
        <w:t>17</w:t>
      </w:r>
      <w:r>
        <w:rPr>
          <w:rFonts w:hint="eastAsia" w:ascii="宋体" w:hAnsi="宋体" w:cs="宋体"/>
          <w:color w:val="333333"/>
          <w:kern w:val="0"/>
          <w:szCs w:val="21"/>
        </w:rPr>
        <w:t>年10月</w:t>
      </w:r>
      <w:r>
        <w:rPr>
          <w:rFonts w:ascii="宋体" w:hAnsi="宋体" w:cs="宋体"/>
          <w:color w:val="333333"/>
          <w:kern w:val="0"/>
          <w:szCs w:val="21"/>
        </w:rPr>
        <w:t>起</w:t>
      </w:r>
      <w:r>
        <w:rPr>
          <w:rFonts w:hint="eastAsia" w:ascii="宋体" w:hAnsi="宋体" w:cs="宋体"/>
          <w:color w:val="333333"/>
          <w:kern w:val="0"/>
          <w:szCs w:val="21"/>
          <w:lang w:eastAsia="zh-CN"/>
        </w:rPr>
        <w:t>以下</w:t>
      </w:r>
      <w:r>
        <w:rPr>
          <w:rFonts w:hint="eastAsia" w:ascii="宋体" w:hAnsi="宋体" w:cs="宋体"/>
          <w:color w:val="333333"/>
          <w:kern w:val="0"/>
          <w:szCs w:val="21"/>
        </w:rPr>
        <w:t>生效</w:t>
      </w:r>
      <w:r>
        <w:rPr>
          <w:rFonts w:ascii="宋体" w:hAnsi="宋体" w:cs="宋体"/>
          <w:color w:val="333333"/>
          <w:kern w:val="0"/>
          <w:szCs w:val="21"/>
        </w:rPr>
        <w:t>，委员会负责指导前台，</w:t>
      </w:r>
      <w:r>
        <w:rPr>
          <w:rFonts w:hint="eastAsia" w:ascii="宋体" w:hAnsi="宋体" w:cs="宋体"/>
          <w:color w:val="333333"/>
          <w:kern w:val="0"/>
          <w:szCs w:val="21"/>
          <w:lang w:eastAsia="zh-CN"/>
        </w:rPr>
        <w:t>在</w:t>
      </w:r>
      <w:r>
        <w:rPr>
          <w:rFonts w:ascii="宋体" w:hAnsi="宋体" w:cs="宋体"/>
          <w:color w:val="333333"/>
          <w:kern w:val="0"/>
          <w:szCs w:val="21"/>
        </w:rPr>
        <w:t>拍卖会上</w:t>
      </w:r>
      <w:r>
        <w:rPr>
          <w:rFonts w:hint="eastAsia" w:ascii="宋体" w:hAnsi="宋体" w:cs="宋体"/>
          <w:color w:val="333333"/>
          <w:kern w:val="0"/>
          <w:szCs w:val="21"/>
        </w:rPr>
        <w:t>展期</w:t>
      </w:r>
      <w:r>
        <w:rPr>
          <w:rFonts w:ascii="宋体" w:hAnsi="宋体" w:cs="宋体"/>
          <w:color w:val="333333"/>
          <w:kern w:val="0"/>
          <w:szCs w:val="21"/>
        </w:rPr>
        <w:t>每个月到期的美联储持有的国债</w:t>
      </w:r>
      <w:r>
        <w:rPr>
          <w:rFonts w:hint="eastAsia" w:ascii="宋体" w:hAnsi="宋体" w:cs="宋体"/>
          <w:color w:val="333333"/>
          <w:kern w:val="0"/>
          <w:szCs w:val="21"/>
        </w:rPr>
        <w:t>中</w:t>
      </w:r>
      <w:r>
        <w:rPr>
          <w:rFonts w:ascii="宋体" w:hAnsi="宋体" w:cs="宋体"/>
          <w:color w:val="333333"/>
          <w:kern w:val="0"/>
          <w:szCs w:val="21"/>
        </w:rPr>
        <w:t>超过</w:t>
      </w:r>
      <w:r>
        <w:rPr>
          <w:rFonts w:hint="eastAsia" w:ascii="宋体" w:hAnsi="宋体" w:cs="宋体"/>
          <w:color w:val="333333"/>
          <w:kern w:val="0"/>
          <w:szCs w:val="21"/>
        </w:rPr>
        <w:t>60亿</w:t>
      </w:r>
      <w:r>
        <w:rPr>
          <w:rFonts w:ascii="宋体" w:hAnsi="宋体" w:cs="宋体"/>
          <w:color w:val="333333"/>
          <w:kern w:val="0"/>
          <w:szCs w:val="21"/>
        </w:rPr>
        <w:t>美元</w:t>
      </w:r>
      <w:r>
        <w:rPr>
          <w:rFonts w:hint="eastAsia" w:ascii="宋体" w:hAnsi="宋体" w:cs="宋体"/>
          <w:color w:val="333333"/>
          <w:kern w:val="0"/>
          <w:szCs w:val="21"/>
        </w:rPr>
        <w:t>以后</w:t>
      </w:r>
      <w:r>
        <w:rPr>
          <w:rFonts w:ascii="宋体" w:hAnsi="宋体" w:cs="宋体"/>
          <w:color w:val="333333"/>
          <w:kern w:val="0"/>
          <w:szCs w:val="21"/>
        </w:rPr>
        <w:t>的部分</w:t>
      </w:r>
      <w:r>
        <w:rPr>
          <w:rFonts w:hint="eastAsia" w:ascii="宋体" w:hAnsi="宋体" w:cs="宋体"/>
          <w:color w:val="333333"/>
          <w:kern w:val="0"/>
          <w:szCs w:val="21"/>
          <w:lang w:eastAsia="zh-CN"/>
        </w:rPr>
        <w:t>及</w:t>
      </w:r>
      <w:r>
        <w:rPr>
          <w:rFonts w:hint="eastAsia" w:ascii="宋体" w:hAnsi="宋体" w:cs="宋体"/>
          <w:color w:val="333333"/>
          <w:kern w:val="0"/>
          <w:szCs w:val="21"/>
        </w:rPr>
        <w:t>机构债务和机构抵押贷款支持证券的本金支付金额中超过40亿美元的</w:t>
      </w:r>
      <w:r>
        <w:rPr>
          <w:rFonts w:ascii="宋体" w:hAnsi="宋体" w:cs="宋体"/>
          <w:color w:val="333333"/>
          <w:kern w:val="0"/>
          <w:szCs w:val="21"/>
        </w:rPr>
        <w:t>部分。</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eastAsia="zh-CN"/>
        </w:rPr>
      </w:pPr>
      <w:r>
        <w:rPr>
          <w:rFonts w:hint="eastAsia" w:ascii="宋体" w:hAnsi="宋体"/>
          <w:sz w:val="24"/>
          <w:szCs w:val="24"/>
          <w:lang w:eastAsia="zh-CN"/>
        </w:rPr>
        <w:t>二、美联储缩表古今对比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outlineLvl w:val="9"/>
        <w:rPr>
          <w:rFonts w:hint="eastAsia" w:ascii="宋体" w:hAnsi="宋体"/>
          <w:szCs w:val="21"/>
          <w:lang w:val="en-US" w:eastAsia="zh-CN"/>
        </w:rPr>
      </w:pPr>
      <w:r>
        <w:rPr>
          <w:rFonts w:hint="eastAsia" w:ascii="宋体" w:hAnsi="宋体"/>
          <w:szCs w:val="21"/>
          <w:lang w:eastAsia="zh-CN"/>
        </w:rPr>
        <w:t>回顾历史，我们发现美联储成立至今，出现过</w:t>
      </w:r>
      <w:r>
        <w:rPr>
          <w:rFonts w:hint="eastAsia" w:ascii="宋体" w:hAnsi="宋体"/>
          <w:szCs w:val="21"/>
          <w:lang w:val="en-US" w:eastAsia="zh-CN"/>
        </w:rPr>
        <w:t>7次缩表，分别是</w:t>
      </w:r>
      <w:r>
        <w:rPr>
          <w:rFonts w:hint="default" w:ascii="宋体" w:hAnsi="宋体"/>
          <w:szCs w:val="21"/>
        </w:rPr>
        <w:t>：1920-1922年、1930年、1949年、1960年、1978-1979年与2000年</w:t>
      </w:r>
      <w:r>
        <w:rPr>
          <w:rFonts w:hint="eastAsia" w:ascii="宋体" w:hAnsi="宋体"/>
          <w:szCs w:val="21"/>
          <w:lang w:val="en-US" w:eastAsia="zh-CN"/>
        </w:rPr>
        <w:t>-</w:t>
      </w:r>
      <w:r>
        <w:rPr>
          <w:rFonts w:hint="default" w:ascii="宋体" w:hAnsi="宋体"/>
          <w:szCs w:val="21"/>
        </w:rPr>
        <w:t>2001年。</w:t>
      </w:r>
      <w:r>
        <w:rPr>
          <w:rFonts w:hint="eastAsia" w:ascii="宋体" w:hAnsi="宋体"/>
          <w:szCs w:val="21"/>
          <w:lang w:eastAsia="zh-CN"/>
        </w:rPr>
        <w:t>由于早期的数据难以获得，因此，我们姑且简单回顾一下</w:t>
      </w:r>
      <w:r>
        <w:rPr>
          <w:rFonts w:hint="default" w:ascii="宋体" w:hAnsi="宋体"/>
          <w:szCs w:val="21"/>
        </w:rPr>
        <w:t>1978-1979年与2000年</w:t>
      </w:r>
      <w:r>
        <w:rPr>
          <w:rFonts w:hint="eastAsia" w:ascii="宋体" w:hAnsi="宋体"/>
          <w:szCs w:val="21"/>
          <w:lang w:val="en-US" w:eastAsia="zh-CN"/>
        </w:rPr>
        <w:t>-</w:t>
      </w:r>
      <w:r>
        <w:rPr>
          <w:rFonts w:hint="default" w:ascii="宋体" w:hAnsi="宋体"/>
          <w:szCs w:val="21"/>
        </w:rPr>
        <w:t>2001年</w:t>
      </w:r>
      <w:r>
        <w:rPr>
          <w:rFonts w:hint="eastAsia" w:ascii="宋体" w:hAnsi="宋体"/>
          <w:szCs w:val="21"/>
          <w:lang w:eastAsia="zh-CN"/>
        </w:rPr>
        <w:t>两</w:t>
      </w:r>
      <w:r>
        <w:rPr>
          <w:rFonts w:hint="eastAsia" w:ascii="宋体" w:hAnsi="宋体"/>
          <w:szCs w:val="21"/>
          <w:lang w:val="en-US" w:eastAsia="zh-CN"/>
        </w:rPr>
        <w:t>次缩表对黄金价格走势的影响。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pPr>
      <w:r>
        <w:rPr>
          <w:rFonts w:hint="default" w:ascii="宋体" w:hAnsi="宋体"/>
          <w:szCs w:val="21"/>
          <w:lang w:eastAsia="zh-CN"/>
        </w:rPr>
        <w:t>1978-1979年</w:t>
      </w:r>
      <w:r>
        <w:rPr>
          <w:rFonts w:hint="eastAsia" w:ascii="宋体" w:hAnsi="宋体"/>
          <w:szCs w:val="21"/>
          <w:lang w:eastAsia="zh-CN"/>
        </w:rPr>
        <w:t>期间，由于受到第二次石油危机的冲击，美国</w:t>
      </w:r>
      <w:r>
        <w:rPr>
          <w:rFonts w:hint="eastAsia" w:ascii="宋体" w:hAnsi="宋体"/>
          <w:szCs w:val="21"/>
          <w:lang w:val="en-US" w:eastAsia="zh-CN"/>
        </w:rPr>
        <w:t>经济出现严重的滞涨局面，因此</w:t>
      </w:r>
      <w:r>
        <w:rPr>
          <w:rFonts w:hint="eastAsia" w:ascii="宋体" w:hAnsi="宋体"/>
          <w:szCs w:val="21"/>
          <w:lang w:eastAsia="zh-CN"/>
        </w:rPr>
        <w:t>美联储采取缩表</w:t>
      </w:r>
      <w:r>
        <w:rPr>
          <w:rFonts w:hint="eastAsia" w:ascii="宋体" w:hAnsi="宋体"/>
          <w:szCs w:val="21"/>
          <w:lang w:val="en-US" w:eastAsia="zh-CN"/>
        </w:rPr>
        <w:t>+9次加息的紧缩性货币政策</w:t>
      </w:r>
      <w:r>
        <w:rPr>
          <w:rFonts w:hint="eastAsia" w:ascii="宋体" w:hAnsi="宋体"/>
          <w:szCs w:val="21"/>
          <w:lang w:eastAsia="zh-CN"/>
        </w:rPr>
        <w:t>。缩表期间，黄金价格小幅下行，白银价格变化不大，美股走势震荡，美元走强。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rPr>
          <w:rFonts w:hint="eastAsia" w:ascii="宋体" w:hAnsi="宋体"/>
          <w:szCs w:val="21"/>
          <w:lang w:eastAsia="zh-CN"/>
        </w:rPr>
      </w:pPr>
      <w:r>
        <w:rPr>
          <w:rFonts w:hint="eastAsia" w:ascii="宋体" w:hAnsi="宋体"/>
          <w:szCs w:val="21"/>
          <w:lang w:val="en-US" w:eastAsia="zh-CN"/>
        </w:rPr>
        <w:t>2000-2001年期间，在</w:t>
      </w:r>
      <w:r>
        <w:rPr>
          <w:rFonts w:hint="default" w:ascii="宋体" w:hAnsi="宋体"/>
          <w:szCs w:val="21"/>
          <w:lang w:eastAsia="zh-CN"/>
        </w:rPr>
        <w:t>互联网泡沫破灭与9.11恐怖袭击后</w:t>
      </w:r>
      <w:r>
        <w:rPr>
          <w:rFonts w:hint="eastAsia" w:ascii="宋体" w:hAnsi="宋体"/>
          <w:szCs w:val="21"/>
          <w:lang w:eastAsia="zh-CN"/>
        </w:rPr>
        <w:t>，</w:t>
      </w:r>
      <w:r>
        <w:rPr>
          <w:rFonts w:hint="default" w:ascii="宋体" w:hAnsi="宋体"/>
          <w:szCs w:val="21"/>
          <w:lang w:eastAsia="zh-CN"/>
        </w:rPr>
        <w:t>美联储</w:t>
      </w:r>
      <w:r>
        <w:rPr>
          <w:rFonts w:hint="eastAsia" w:ascii="宋体" w:hAnsi="宋体"/>
          <w:szCs w:val="21"/>
          <w:lang w:eastAsia="zh-CN"/>
        </w:rPr>
        <w:t>通过缩表</w:t>
      </w:r>
      <w:r>
        <w:rPr>
          <w:rFonts w:hint="eastAsia" w:ascii="宋体" w:hAnsi="宋体"/>
          <w:szCs w:val="21"/>
          <w:lang w:val="en-US" w:eastAsia="zh-CN"/>
        </w:rPr>
        <w:t>+3次加息</w:t>
      </w:r>
      <w:r>
        <w:rPr>
          <w:rFonts w:hint="default" w:ascii="宋体" w:hAnsi="宋体"/>
          <w:szCs w:val="21"/>
          <w:lang w:eastAsia="zh-CN"/>
        </w:rPr>
        <w:t>退出短期流动性救助措施</w:t>
      </w:r>
      <w:r>
        <w:rPr>
          <w:rFonts w:hint="eastAsia" w:ascii="宋体" w:hAnsi="宋体"/>
          <w:szCs w:val="21"/>
          <w:lang w:eastAsia="zh-CN"/>
        </w:rPr>
        <w:t>。期间，回购协议项目持有规模显著遭到减持。美联储缩表期间，美元指数走强，黄金白银价格下跌，美国股市震荡走弱。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rPr>
          <w:rFonts w:hint="eastAsia" w:ascii="宋体" w:hAnsi="宋体"/>
          <w:szCs w:val="21"/>
          <w:lang w:val="en-US" w:eastAsia="zh-CN"/>
        </w:rPr>
      </w:pPr>
      <w:r>
        <w:rPr>
          <w:rFonts w:hint="eastAsia" w:ascii="宋体" w:hAnsi="宋体"/>
          <w:szCs w:val="21"/>
          <w:lang w:val="en-US" w:eastAsia="zh-CN"/>
        </w:rPr>
        <w:t>通过对比，我们发现，与前两次缩表不同的是，本次缩表属于被动缩表，主要过程通过停止对当前持有至到期的国债及MBS的再投资而实现。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rPr>
          <w:rFonts w:hint="default" w:ascii="宋体" w:hAnsi="宋体"/>
          <w:szCs w:val="21"/>
          <w:lang w:val="en-US" w:eastAsia="zh-CN"/>
        </w:rPr>
      </w:pPr>
      <w:r>
        <w:rPr>
          <w:rFonts w:hint="eastAsia" w:ascii="宋体" w:hAnsi="宋体"/>
          <w:szCs w:val="21"/>
          <w:lang w:val="en-US" w:eastAsia="zh-CN"/>
        </w:rPr>
        <w:t>美联储10月开启缩表计划，缩表方式符合2017年6月13-14日的《联邦公开市场委员会的会议记录》所提及的。2017年6月份公布的《联邦公开市场委员会的会议记录》曾</w:t>
      </w:r>
      <w:r>
        <w:rPr>
          <w:rFonts w:hint="eastAsia" w:ascii="宋体" w:hAnsi="宋体"/>
          <w:szCs w:val="21"/>
          <w:lang w:eastAsia="zh-CN"/>
        </w:rPr>
        <w:t>提到：“</w:t>
      </w:r>
      <w:r>
        <w:rPr>
          <w:rFonts w:hint="default" w:ascii="宋体" w:hAnsi="宋体"/>
          <w:szCs w:val="21"/>
          <w:lang w:eastAsia="zh-CN"/>
        </w:rPr>
        <w:t>如果经济前景</w:t>
      </w:r>
      <w:r>
        <w:rPr>
          <w:rFonts w:hint="eastAsia" w:ascii="宋体" w:hAnsi="宋体"/>
          <w:szCs w:val="21"/>
          <w:lang w:eastAsia="zh-CN"/>
        </w:rPr>
        <w:t>出现</w:t>
      </w:r>
      <w:r>
        <w:rPr>
          <w:rFonts w:hint="default" w:ascii="宋体" w:hAnsi="宋体"/>
          <w:szCs w:val="21"/>
          <w:lang w:eastAsia="zh-CN"/>
        </w:rPr>
        <w:t>实质性恶化</w:t>
      </w:r>
      <w:r>
        <w:rPr>
          <w:rFonts w:hint="eastAsia" w:ascii="宋体" w:hAnsi="宋体"/>
          <w:szCs w:val="21"/>
          <w:lang w:eastAsia="zh-CN"/>
        </w:rPr>
        <w:t>，则</w:t>
      </w:r>
      <w:r>
        <w:rPr>
          <w:rFonts w:hint="default" w:ascii="宋体" w:hAnsi="宋体"/>
          <w:szCs w:val="21"/>
          <w:lang w:eastAsia="zh-CN"/>
        </w:rPr>
        <w:t>委员会将</w:t>
      </w:r>
      <w:r>
        <w:rPr>
          <w:rFonts w:hint="eastAsia" w:ascii="宋体" w:hAnsi="宋体"/>
          <w:szCs w:val="21"/>
          <w:lang w:eastAsia="zh-CN"/>
        </w:rPr>
        <w:t>随时将回收的本金重新用于</w:t>
      </w:r>
      <w:r>
        <w:rPr>
          <w:rFonts w:hint="default" w:ascii="宋体" w:hAnsi="宋体"/>
          <w:szCs w:val="21"/>
          <w:lang w:eastAsia="zh-CN"/>
        </w:rPr>
        <w:t>再投资。</w:t>
      </w:r>
      <w:r>
        <w:rPr>
          <w:rFonts w:hint="default" w:ascii="宋体" w:hAnsi="宋体"/>
          <w:strike w:val="0"/>
          <w:dstrike w:val="0"/>
          <w:szCs w:val="21"/>
          <w:lang w:val="en-US" w:eastAsia="zh-CN"/>
        </w:rPr>
        <w:t>”</w:t>
      </w:r>
      <w:r>
        <w:rPr>
          <w:rFonts w:hint="eastAsia" w:ascii="宋体" w:hAnsi="宋体"/>
          <w:szCs w:val="21"/>
          <w:lang w:eastAsia="zh-CN"/>
        </w:rPr>
        <w:t>因此，我们认为，美联储本次缩表是是基于对美国经济良好复苏的情况下进行的。</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val="en-US" w:eastAsia="zh-CN"/>
        </w:rPr>
      </w:pPr>
      <w:r>
        <w:rPr>
          <w:rFonts w:hint="eastAsia" w:ascii="宋体" w:hAnsi="宋体"/>
          <w:sz w:val="24"/>
          <w:szCs w:val="24"/>
          <w:lang w:val="en-US" w:eastAsia="zh-CN"/>
        </w:rPr>
        <w:t>三、美国经济增长良好</w:t>
      </w:r>
    </w:p>
    <w:p>
      <w:pPr>
        <w:pStyle w:val="10"/>
        <w:keepNext w:val="0"/>
        <w:keepLines w:val="0"/>
        <w:pageBreakBefore w:val="0"/>
        <w:kinsoku/>
        <w:wordWrap/>
        <w:overflowPunct/>
        <w:topLinePunct w:val="0"/>
        <w:autoSpaceDE/>
        <w:autoSpaceDN/>
        <w:bidi w:val="0"/>
        <w:adjustRightInd/>
        <w:snapToGrid/>
        <w:spacing w:line="360" w:lineRule="auto"/>
        <w:ind w:left="0" w:leftChars="0" w:right="0" w:rightChars="0"/>
        <w:jc w:val="left"/>
        <w:rPr>
          <w:rFonts w:ascii="宋体" w:hAnsi="宋体" w:cs="宋体"/>
          <w:kern w:val="0"/>
          <w:szCs w:val="21"/>
        </w:rPr>
      </w:pPr>
      <w:r>
        <w:rPr>
          <w:rFonts w:hint="eastAsia" w:ascii="宋体" w:hAnsi="宋体" w:cs="宋体"/>
          <w:kern w:val="0"/>
          <w:szCs w:val="21"/>
        </w:rPr>
        <w:t>9月19-20日</w:t>
      </w:r>
      <w:r>
        <w:rPr>
          <w:rFonts w:ascii="宋体" w:hAnsi="宋体" w:cs="宋体"/>
          <w:kern w:val="0"/>
          <w:szCs w:val="21"/>
        </w:rPr>
        <w:t>，</w:t>
      </w:r>
      <w:r>
        <w:rPr>
          <w:rFonts w:hint="eastAsia" w:ascii="宋体" w:hAnsi="宋体" w:cs="宋体"/>
          <w:kern w:val="0"/>
          <w:szCs w:val="21"/>
        </w:rPr>
        <w:t>美联储</w:t>
      </w:r>
      <w:r>
        <w:rPr>
          <w:rFonts w:ascii="宋体" w:hAnsi="宋体" w:cs="宋体"/>
          <w:kern w:val="0"/>
          <w:szCs w:val="21"/>
        </w:rPr>
        <w:t>议息纪要显示：</w:t>
      </w:r>
      <w:r>
        <w:rPr>
          <w:rFonts w:hint="eastAsia" w:ascii="宋体" w:hAnsi="宋体" w:cs="宋体"/>
          <w:kern w:val="0"/>
          <w:szCs w:val="21"/>
        </w:rPr>
        <w:t>联邦公开市场委员会七月份举行会议以来收到的资料表明，劳动力市场持续复苏，经济活动今年以来一直呈上升态势。近几个月的就业一直保持稳定，失业率保持在较低水平。家庭支出一直在不断扩大，近几季商业固定资产投资增长回升。以年化为基准，不包括食品和能源价格的核心</w:t>
      </w:r>
      <w:r>
        <w:rPr>
          <w:rFonts w:ascii="宋体" w:hAnsi="宋体" w:cs="宋体"/>
          <w:kern w:val="0"/>
          <w:szCs w:val="21"/>
        </w:rPr>
        <w:t>通畅率</w:t>
      </w:r>
      <w:r>
        <w:rPr>
          <w:rFonts w:hint="eastAsia" w:ascii="宋体" w:hAnsi="宋体" w:cs="宋体"/>
          <w:kern w:val="0"/>
          <w:szCs w:val="21"/>
        </w:rPr>
        <w:t>已经</w:t>
      </w:r>
      <w:r>
        <w:rPr>
          <w:rFonts w:ascii="宋体" w:hAnsi="宋体" w:cs="宋体"/>
          <w:kern w:val="0"/>
          <w:szCs w:val="21"/>
        </w:rPr>
        <w:t>下降</w:t>
      </w:r>
      <w:r>
        <w:rPr>
          <w:rFonts w:hint="eastAsia" w:ascii="宋体" w:hAnsi="宋体" w:cs="宋体"/>
          <w:kern w:val="0"/>
          <w:szCs w:val="21"/>
        </w:rPr>
        <w:t>，低于2％。以市场为导向的通胀补偿指标仍然很低，基于调查的长期通胀预期指标几乎没有变化。</w:t>
      </w:r>
    </w:p>
    <w:p>
      <w:pPr>
        <w:pStyle w:val="10"/>
        <w:keepNext w:val="0"/>
        <w:keepLines w:val="0"/>
        <w:pageBreakBefore w:val="0"/>
        <w:kinsoku/>
        <w:wordWrap/>
        <w:overflowPunct/>
        <w:topLinePunct w:val="0"/>
        <w:autoSpaceDE/>
        <w:autoSpaceDN/>
        <w:bidi w:val="0"/>
        <w:adjustRightInd/>
        <w:snapToGrid/>
        <w:spacing w:line="360" w:lineRule="auto"/>
        <w:ind w:left="0" w:leftChars="0" w:right="0" w:rightChars="0"/>
        <w:jc w:val="left"/>
        <w:rPr>
          <w:rFonts w:ascii="宋体" w:hAnsi="宋体" w:cs="宋体"/>
          <w:kern w:val="0"/>
          <w:szCs w:val="21"/>
        </w:rPr>
      </w:pPr>
      <w:r>
        <w:rPr>
          <w:rFonts w:hint="eastAsia" w:ascii="宋体" w:hAnsi="宋体" w:cs="宋体"/>
          <w:kern w:val="0"/>
          <w:szCs w:val="21"/>
        </w:rPr>
        <w:t>飓风哈维、伊尔玛和玛丽亚摧毁了许多社区，造成了严重的灾难。但过去的经验表明，风暴不太可能在中期内实质性改变国民经济的进程。因此，委员会继续预计，</w:t>
      </w:r>
      <w:r>
        <w:rPr>
          <w:rFonts w:hint="eastAsia" w:ascii="宋体" w:hAnsi="宋体" w:cs="宋体"/>
          <w:kern w:val="0"/>
          <w:szCs w:val="21"/>
          <w:lang w:eastAsia="zh-CN"/>
        </w:rPr>
        <w:t>除了受到飓风的影响</w:t>
      </w:r>
      <w:r>
        <w:rPr>
          <w:rFonts w:hint="eastAsia" w:ascii="宋体" w:hAnsi="宋体" w:cs="宋体"/>
          <w:kern w:val="0"/>
          <w:szCs w:val="21"/>
        </w:rPr>
        <w:t>，12个月的通货膨胀率预计将在短期内保持在2%以下，但在中期稳定在委员会2%的目标上。委员会正在密切关注通胀的发展。</w:t>
      </w:r>
    </w:p>
    <w:p>
      <w:pPr>
        <w:pStyle w:val="10"/>
        <w:keepNext w:val="0"/>
        <w:keepLines w:val="0"/>
        <w:pageBreakBefore w:val="0"/>
        <w:kinsoku/>
        <w:wordWrap/>
        <w:overflowPunct/>
        <w:topLinePunct w:val="0"/>
        <w:autoSpaceDE/>
        <w:autoSpaceDN/>
        <w:bidi w:val="0"/>
        <w:adjustRightInd/>
        <w:snapToGrid/>
        <w:spacing w:line="360" w:lineRule="auto"/>
        <w:ind w:left="0" w:leftChars="0" w:right="0" w:rightChars="0"/>
        <w:jc w:val="left"/>
        <w:rPr>
          <w:rFonts w:ascii="宋体" w:hAnsi="宋体" w:cs="宋体"/>
          <w:kern w:val="0"/>
          <w:szCs w:val="21"/>
        </w:rPr>
      </w:pPr>
      <w:r>
        <w:rPr>
          <w:rFonts w:hint="eastAsia" w:ascii="宋体" w:hAnsi="宋体" w:cs="宋体"/>
          <w:kern w:val="0"/>
          <w:szCs w:val="21"/>
        </w:rPr>
        <w:t>鉴于实际的和预期的劳动力市场状况和通货膨胀，委员会决定联邦基金利率的目标范围维持在1％至1</w:t>
      </w:r>
      <w:r>
        <w:rPr>
          <w:rFonts w:ascii="宋体" w:hAnsi="宋体" w:cs="宋体"/>
          <w:kern w:val="0"/>
          <w:szCs w:val="21"/>
        </w:rPr>
        <w:t>.25</w:t>
      </w:r>
      <w:r>
        <w:rPr>
          <w:rFonts w:hint="eastAsia" w:ascii="宋体" w:hAnsi="宋体" w:cs="宋体"/>
          <w:kern w:val="0"/>
          <w:szCs w:val="21"/>
        </w:rPr>
        <w:t>％水平</w:t>
      </w:r>
      <w:r>
        <w:rPr>
          <w:rFonts w:ascii="宋体" w:hAnsi="宋体" w:cs="宋体"/>
          <w:kern w:val="0"/>
          <w:szCs w:val="21"/>
        </w:rPr>
        <w:t>不变</w:t>
      </w:r>
      <w:r>
        <w:rPr>
          <w:rFonts w:hint="eastAsia" w:ascii="宋体" w:hAnsi="宋体" w:cs="宋体"/>
          <w:kern w:val="0"/>
          <w:szCs w:val="21"/>
        </w:rPr>
        <w:t>。货币政策的态度依然宽松，支持了劳动力市场状况的进一步加强，及通货膨胀率持续回升到2％。</w:t>
      </w:r>
    </w:p>
    <w:p>
      <w:pPr>
        <w:keepNext w:val="0"/>
        <w:keepLines w:val="0"/>
        <w:pageBreakBefore w:val="0"/>
        <w:widowControl/>
        <w:numPr>
          <w:ilvl w:val="0"/>
          <w:numId w:val="0"/>
        </w:numPr>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color w:val="333333"/>
          <w:sz w:val="21"/>
          <w:szCs w:val="21"/>
          <w:lang w:val="en-US" w:eastAsia="zh-CN"/>
        </w:rPr>
      </w:pPr>
      <w:r>
        <w:rPr>
          <w:rFonts w:hint="eastAsia"/>
          <w:color w:val="333333"/>
          <w:sz w:val="21"/>
          <w:szCs w:val="21"/>
          <w:lang w:eastAsia="zh-CN"/>
        </w:rPr>
        <w:t>从</w:t>
      </w:r>
      <w:r>
        <w:rPr>
          <w:rFonts w:hint="eastAsia"/>
          <w:color w:val="333333"/>
          <w:sz w:val="21"/>
          <w:szCs w:val="21"/>
          <w:lang w:val="en-US" w:eastAsia="zh-CN"/>
        </w:rPr>
        <w:t>9月20日公布的美联储议息会议记录中我们可以看到，美国经济增长良好，就业市场的持续复苏使得个人消费支出增长，并美国国内私人投资增长为美国经济增长带来良好的驱动力。虽然</w:t>
      </w:r>
      <w:r>
        <w:rPr>
          <w:rFonts w:hint="eastAsia"/>
          <w:color w:val="333333"/>
          <w:sz w:val="21"/>
          <w:szCs w:val="21"/>
          <w:lang w:eastAsia="zh-CN"/>
        </w:rPr>
        <w:t>美国</w:t>
      </w:r>
      <w:r>
        <w:rPr>
          <w:rFonts w:hint="eastAsia"/>
          <w:color w:val="333333"/>
          <w:sz w:val="21"/>
          <w:szCs w:val="21"/>
          <w:lang w:val="en-US" w:eastAsia="zh-CN"/>
        </w:rPr>
        <w:t>7月贸易差额-42068百万美元，处于2010年1月以来的中位数之下，但是美国7月进口金额和出口金额均处于2010年1月以来的中位数之上，侧面反映了美国贸易逆差是由于美国经济增长领先于其他国家所致。虽然目前美国的通胀率仍低于2%，这是因为前期的油价下跌及非石油进口品价格下跌所致，但美联储仍有信心美国通胀正朝着2%的方向增长。在美国经济增长良好的背景下，我们认为美元短期的下跌空间不大。</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val="en-US" w:eastAsia="zh-CN"/>
        </w:rPr>
      </w:pPr>
      <w:r>
        <w:rPr>
          <w:rFonts w:hint="eastAsia" w:ascii="宋体" w:hAnsi="宋体"/>
          <w:sz w:val="24"/>
          <w:szCs w:val="24"/>
          <w:lang w:val="en-US" w:eastAsia="zh-CN"/>
        </w:rPr>
        <w:t>四、欧洲各国货币政策逐渐开启紧缩进程</w:t>
      </w:r>
    </w:p>
    <w:p>
      <w:pPr>
        <w:keepNext w:val="0"/>
        <w:keepLines w:val="0"/>
        <w:pageBreakBefore w:val="0"/>
        <w:widowControl/>
        <w:numPr>
          <w:ilvl w:val="0"/>
          <w:numId w:val="0"/>
        </w:numPr>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color w:val="333333"/>
          <w:sz w:val="21"/>
          <w:szCs w:val="21"/>
          <w:lang w:eastAsia="zh-CN"/>
        </w:rPr>
      </w:pPr>
      <w:r>
        <w:rPr>
          <w:rFonts w:hint="eastAsia"/>
          <w:color w:val="333333"/>
          <w:sz w:val="21"/>
          <w:szCs w:val="21"/>
          <w:lang w:eastAsia="zh-CN"/>
        </w:rPr>
        <w:t>美东时间周一，英国央行行长马克·卡尼表示，英国脱欧可能会推高英国的通胀率，因此英国央行未来几个月或将上调利率。</w:t>
      </w:r>
    </w:p>
    <w:p>
      <w:pPr>
        <w:keepNext w:val="0"/>
        <w:keepLines w:val="0"/>
        <w:pageBreakBefore w:val="0"/>
        <w:widowControl/>
        <w:numPr>
          <w:ilvl w:val="0"/>
          <w:numId w:val="0"/>
        </w:numPr>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color w:val="333333"/>
          <w:sz w:val="21"/>
          <w:szCs w:val="21"/>
          <w:lang w:eastAsia="zh-CN"/>
        </w:rPr>
      </w:pPr>
      <w:r>
        <w:rPr>
          <w:rFonts w:hint="eastAsia"/>
          <w:color w:val="333333"/>
          <w:sz w:val="21"/>
          <w:szCs w:val="21"/>
          <w:lang w:val="en-US" w:eastAsia="zh-CN"/>
        </w:rPr>
        <w:t>9月6日，加拿大央行上调基准利率25个基点至1%，致加元大涨美元承压。</w:t>
      </w:r>
      <w:r>
        <w:rPr>
          <w:rFonts w:hint="eastAsia"/>
          <w:color w:val="333333"/>
          <w:sz w:val="21"/>
          <w:szCs w:val="21"/>
          <w:lang w:eastAsia="zh-CN"/>
        </w:rPr>
        <w:t>此外，加拿大央行强调未来货币政策要根据数据和金融市场发展的通胀前景所确定。</w:t>
      </w:r>
    </w:p>
    <w:p>
      <w:pPr>
        <w:keepNext w:val="0"/>
        <w:keepLines w:val="0"/>
        <w:pageBreakBefore w:val="0"/>
        <w:widowControl/>
        <w:numPr>
          <w:ilvl w:val="0"/>
          <w:numId w:val="0"/>
        </w:numPr>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color w:val="333333"/>
          <w:sz w:val="21"/>
          <w:szCs w:val="21"/>
          <w:lang w:val="en-US" w:eastAsia="zh-CN"/>
        </w:rPr>
      </w:pPr>
      <w:r>
        <w:rPr>
          <w:rFonts w:hint="eastAsia"/>
          <w:color w:val="333333"/>
          <w:sz w:val="21"/>
          <w:szCs w:val="21"/>
          <w:lang w:val="en-US" w:eastAsia="zh-CN"/>
        </w:rPr>
        <w:t>9月18日，欧元区8月CPI终值1.5%，符合预期，升至4个月以来高位，但仍低于欧洲央行2%的目标。此前欧央行行长德拉基表示将在下月缩减购债计划，意味着通胀虽脱离预期但不影响欧央行退出宽松的货币政策。</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val="en-US" w:eastAsia="zh-CN"/>
        </w:rPr>
      </w:pPr>
      <w:r>
        <w:rPr>
          <w:rFonts w:hint="eastAsia" w:ascii="宋体" w:hAnsi="宋体"/>
          <w:sz w:val="24"/>
          <w:szCs w:val="24"/>
          <w:lang w:val="en-US" w:eastAsia="zh-CN"/>
        </w:rPr>
        <w:t>五、美朝对峙仍未得到解决</w:t>
      </w:r>
    </w:p>
    <w:p>
      <w:pPr>
        <w:keepNext w:val="0"/>
        <w:keepLines w:val="0"/>
        <w:pageBreakBefore w:val="0"/>
        <w:widowControl/>
        <w:numPr>
          <w:ilvl w:val="0"/>
          <w:numId w:val="0"/>
        </w:numPr>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color w:val="333333"/>
          <w:sz w:val="21"/>
          <w:szCs w:val="21"/>
          <w:lang w:val="en-US" w:eastAsia="zh-CN"/>
        </w:rPr>
      </w:pPr>
      <w:r>
        <w:rPr>
          <w:rFonts w:hint="eastAsia"/>
          <w:color w:val="333333"/>
          <w:sz w:val="21"/>
          <w:szCs w:val="21"/>
          <w:lang w:val="en-US" w:eastAsia="zh-CN"/>
        </w:rPr>
        <w:t>美国国防部发布声明称，他们于稍早之前从关岛派出B1轰炸机，配合冲绳基地的F15战斗机，飞越了朝鲜东部国际领空。美国防部称这次行动是为了证明美国有多种军事能力可以消除来自朝鲜的任何威胁，他们已经做好了保护美国领土和盟友的全面军事准备。</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val="en-US" w:eastAsia="zh-CN"/>
        </w:rPr>
      </w:pPr>
      <w:r>
        <w:rPr>
          <w:rFonts w:hint="eastAsia" w:ascii="宋体" w:hAnsi="宋体"/>
          <w:sz w:val="24"/>
          <w:szCs w:val="24"/>
          <w:lang w:val="en-US" w:eastAsia="zh-CN"/>
        </w:rPr>
        <w:t>六、黄金期货基金持仓</w:t>
      </w:r>
    </w:p>
    <w:p>
      <w:pPr>
        <w:keepNext w:val="0"/>
        <w:keepLines w:val="0"/>
        <w:pageBreakBefore w:val="0"/>
        <w:widowControl/>
        <w:numPr>
          <w:ilvl w:val="0"/>
          <w:numId w:val="0"/>
        </w:numPr>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color w:val="333333"/>
          <w:sz w:val="21"/>
          <w:szCs w:val="21"/>
          <w:lang w:val="en-US" w:eastAsia="zh-CN"/>
        </w:rPr>
      </w:pPr>
      <w:r>
        <w:rPr>
          <w:rFonts w:hint="eastAsia"/>
          <w:color w:val="333333"/>
          <w:sz w:val="21"/>
          <w:szCs w:val="21"/>
          <w:lang w:val="en-US" w:eastAsia="zh-CN"/>
        </w:rPr>
        <w:t>截至2017年9月19日，COMEX黄金期货和期权总持仓量为824227张，COMEX黄金期货和期权净持仓量为252776张，均处于2016年9月以来最高水平，且处于历史上较高水平。表明黄金受到美朝局势紧张的影响，避险资金大幅涌入。</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val="en-US" w:eastAsia="zh-CN"/>
        </w:rPr>
      </w:pPr>
      <w:r>
        <w:rPr>
          <w:rFonts w:hint="eastAsia" w:ascii="宋体" w:hAnsi="宋体"/>
          <w:sz w:val="24"/>
          <w:szCs w:val="24"/>
          <w:lang w:val="en-US" w:eastAsia="zh-CN"/>
        </w:rPr>
        <w:t>七、黄金ETF基金持仓</w:t>
      </w:r>
    </w:p>
    <w:p>
      <w:pPr>
        <w:keepNext w:val="0"/>
        <w:keepLines w:val="0"/>
        <w:pageBreakBefore w:val="0"/>
        <w:widowControl/>
        <w:numPr>
          <w:ilvl w:val="0"/>
          <w:numId w:val="0"/>
        </w:numPr>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color w:val="333333"/>
          <w:sz w:val="21"/>
          <w:szCs w:val="21"/>
          <w:lang w:val="en-US" w:eastAsia="zh-CN"/>
        </w:rPr>
      </w:pPr>
      <w:r>
        <w:rPr>
          <w:rFonts w:hint="eastAsia"/>
          <w:color w:val="333333"/>
          <w:sz w:val="21"/>
          <w:szCs w:val="21"/>
          <w:lang w:val="en-US" w:eastAsia="zh-CN"/>
        </w:rPr>
        <w:t>截至2017年9月22日，世界最大COMEX黄金ETF持仓黄金856.08吨，处于今年7月以来最高水平，分别高于高于2015年12月15日持仓量634.63吨，高于2016年12月15日持仓量842.33吨，高于2017年3月15日持仓量839.43吨，高于2017年6月16日持仓量853.68吨。</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val="en-US" w:eastAsia="zh-CN"/>
        </w:rPr>
      </w:pPr>
      <w:r>
        <w:rPr>
          <w:rFonts w:hint="eastAsia" w:ascii="宋体" w:hAnsi="宋体"/>
          <w:sz w:val="24"/>
          <w:szCs w:val="24"/>
          <w:lang w:val="en-US" w:eastAsia="zh-CN"/>
        </w:rPr>
        <w:t>八、库存</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outlineLvl w:val="9"/>
        <w:rPr>
          <w:rFonts w:hint="eastAsia" w:asciiTheme="minorHAnsi" w:hAnsiTheme="minorHAnsi" w:eastAsiaTheme="minorEastAsia" w:cstheme="minorBidi"/>
          <w:color w:val="333333"/>
          <w:kern w:val="2"/>
          <w:sz w:val="21"/>
          <w:szCs w:val="21"/>
          <w:lang w:val="en-US" w:eastAsia="zh-CN" w:bidi="ar-SA"/>
        </w:rPr>
      </w:pPr>
      <w:r>
        <w:rPr>
          <w:rFonts w:hint="eastAsia" w:asciiTheme="minorHAnsi" w:hAnsiTheme="minorHAnsi" w:eastAsiaTheme="minorEastAsia" w:cstheme="minorBidi"/>
          <w:color w:val="333333"/>
          <w:kern w:val="2"/>
          <w:sz w:val="21"/>
          <w:szCs w:val="21"/>
          <w:lang w:val="en-US" w:eastAsia="zh-CN" w:bidi="ar-SA"/>
        </w:rPr>
        <w:t>9月22日上期所黄金库存仓单为621千克</w:t>
      </w:r>
      <w:r>
        <w:rPr>
          <w:rFonts w:hint="eastAsia" w:cstheme="minorBidi"/>
          <w:color w:val="333333"/>
          <w:kern w:val="2"/>
          <w:sz w:val="21"/>
          <w:szCs w:val="21"/>
          <w:lang w:val="en-US" w:eastAsia="zh-CN" w:bidi="ar-SA"/>
        </w:rPr>
        <w:t>，从6月的库存峰值2865千克下降至今</w:t>
      </w:r>
      <w:r>
        <w:rPr>
          <w:rFonts w:hint="eastAsia" w:asciiTheme="minorHAnsi" w:hAnsiTheme="minorHAnsi" w:eastAsiaTheme="minorEastAsia" w:cstheme="minorBidi"/>
          <w:color w:val="333333"/>
          <w:kern w:val="2"/>
          <w:sz w:val="21"/>
          <w:szCs w:val="21"/>
          <w:lang w:val="en-US" w:eastAsia="zh-CN" w:bidi="ar-SA"/>
        </w:rPr>
        <w:t>。9月</w:t>
      </w:r>
      <w:r>
        <w:rPr>
          <w:rFonts w:hint="eastAsia" w:cstheme="minorBidi"/>
          <w:color w:val="333333"/>
          <w:kern w:val="2"/>
          <w:sz w:val="21"/>
          <w:szCs w:val="21"/>
          <w:lang w:val="en-US" w:eastAsia="zh-CN" w:bidi="ar-SA"/>
        </w:rPr>
        <w:t>22</w:t>
      </w:r>
      <w:r>
        <w:rPr>
          <w:rFonts w:hint="eastAsia" w:asciiTheme="minorHAnsi" w:hAnsiTheme="minorHAnsi" w:eastAsiaTheme="minorEastAsia" w:cstheme="minorBidi"/>
          <w:color w:val="333333"/>
          <w:kern w:val="2"/>
          <w:sz w:val="21"/>
          <w:szCs w:val="21"/>
          <w:lang w:val="en-US" w:eastAsia="zh-CN" w:bidi="ar-SA"/>
        </w:rPr>
        <w:t>日COMEX黄金库存为8697211.592金衡盎司，</w:t>
      </w:r>
      <w:r>
        <w:rPr>
          <w:rFonts w:hint="eastAsia" w:cstheme="minorBidi"/>
          <w:color w:val="333333"/>
          <w:kern w:val="2"/>
          <w:sz w:val="21"/>
          <w:szCs w:val="21"/>
          <w:lang w:val="en-US" w:eastAsia="zh-CN" w:bidi="ar-SA"/>
        </w:rPr>
        <w:t>从8月峰值11,354,733.37</w:t>
      </w:r>
      <w:r>
        <w:rPr>
          <w:rFonts w:hint="eastAsia" w:asciiTheme="minorHAnsi" w:hAnsiTheme="minorHAnsi" w:eastAsiaTheme="minorEastAsia" w:cstheme="minorBidi"/>
          <w:color w:val="333333"/>
          <w:kern w:val="2"/>
          <w:sz w:val="21"/>
          <w:szCs w:val="21"/>
          <w:lang w:val="en-US" w:eastAsia="zh-CN" w:bidi="ar-SA"/>
        </w:rPr>
        <w:t>金衡盎司</w:t>
      </w:r>
      <w:r>
        <w:rPr>
          <w:rFonts w:hint="eastAsia" w:cstheme="minorBidi"/>
          <w:color w:val="333333"/>
          <w:kern w:val="2"/>
          <w:sz w:val="21"/>
          <w:szCs w:val="21"/>
          <w:lang w:val="en-US" w:eastAsia="zh-CN" w:bidi="ar-SA"/>
        </w:rPr>
        <w:t>下降至今</w:t>
      </w:r>
      <w:r>
        <w:rPr>
          <w:rFonts w:hint="eastAsia" w:asciiTheme="minorHAnsi" w:hAnsiTheme="minorHAnsi" w:eastAsiaTheme="minorEastAsia" w:cstheme="minorBidi"/>
          <w:color w:val="333333"/>
          <w:kern w:val="2"/>
          <w:sz w:val="21"/>
          <w:szCs w:val="21"/>
          <w:lang w:val="en-US" w:eastAsia="zh-CN" w:bidi="ar-SA"/>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sz w:val="24"/>
          <w:szCs w:val="24"/>
          <w:lang w:val="en-US" w:eastAsia="zh-CN"/>
        </w:rPr>
      </w:pPr>
      <w:r>
        <w:rPr>
          <w:rFonts w:hint="eastAsia" w:ascii="宋体" w:hAnsi="宋体"/>
          <w:sz w:val="24"/>
          <w:szCs w:val="24"/>
          <w:lang w:val="en-US" w:eastAsia="zh-CN"/>
        </w:rPr>
        <w:t>九、总结</w:t>
      </w:r>
    </w:p>
    <w:p>
      <w:pPr>
        <w:keepNext w:val="0"/>
        <w:keepLines w:val="0"/>
        <w:pageBreakBefore w:val="0"/>
        <w:widowControl/>
        <w:numPr>
          <w:ilvl w:val="0"/>
          <w:numId w:val="0"/>
        </w:numPr>
        <w:shd w:val="clear" w:color="auto" w:fill="F2F2F2"/>
        <w:kinsoku/>
        <w:wordWrap/>
        <w:overflowPunct/>
        <w:topLinePunct w:val="0"/>
        <w:autoSpaceDE/>
        <w:autoSpaceDN/>
        <w:bidi w:val="0"/>
        <w:adjustRightInd/>
        <w:snapToGrid/>
        <w:spacing w:line="360" w:lineRule="auto"/>
        <w:ind w:left="0" w:leftChars="0" w:right="0" w:rightChars="0" w:firstLine="420" w:firstLineChars="200"/>
        <w:jc w:val="left"/>
        <w:textAlignment w:val="top"/>
        <w:rPr>
          <w:rFonts w:hint="eastAsia"/>
          <w:color w:val="333333"/>
          <w:sz w:val="21"/>
          <w:szCs w:val="21"/>
          <w:lang w:val="en-US" w:eastAsia="zh-CN"/>
        </w:rPr>
      </w:pPr>
      <w:r>
        <w:rPr>
          <w:rFonts w:hint="eastAsia"/>
          <w:color w:val="333333"/>
          <w:sz w:val="21"/>
          <w:szCs w:val="21"/>
          <w:lang w:val="en-US" w:eastAsia="zh-CN"/>
        </w:rPr>
        <w:t>综上所述，由于美联储将于10月开启缩表计划，且市场对美国经济复苏存信心，料美联储在年内仍将有一次加息。在加息的背景下，黄金作为不生息资产投资价值下降。料四季度黄金走势震荡偏弱，经供参考。</w:t>
      </w:r>
    </w:p>
    <w:p>
      <w:pPr>
        <w:spacing w:line="360" w:lineRule="auto"/>
        <w:ind w:firstLine="435"/>
        <w:jc w:val="left"/>
        <w:rPr>
          <w:rFonts w:ascii="宋体" w:hAnsi="宋体"/>
          <w:color w:val="000000"/>
          <w:szCs w:val="21"/>
        </w:rPr>
      </w:pPr>
    </w:p>
    <w:p>
      <w:pPr>
        <w:pStyle w:val="9"/>
        <w:spacing w:line="360" w:lineRule="auto"/>
        <w:ind w:firstLine="4048" w:firstLineChars="1440"/>
        <w:rPr>
          <w:rFonts w:hint="eastAsia" w:ascii="新宋体" w:hAnsi="新宋体" w:eastAsia="新宋体" w:cs="新宋体"/>
          <w:b/>
          <w:bCs/>
          <w:color w:val="E36C0A"/>
          <w:sz w:val="28"/>
          <w:szCs w:val="28"/>
        </w:rPr>
      </w:pPr>
      <w:r>
        <w:rPr>
          <w:rFonts w:hint="eastAsia" w:ascii="新宋体" w:hAnsi="新宋体" w:eastAsia="新宋体" w:cs="新宋体"/>
          <w:b/>
          <w:bCs/>
          <w:color w:val="E36C0A"/>
          <w:sz w:val="28"/>
          <w:szCs w:val="28"/>
        </w:rPr>
        <w:br w:type="page"/>
      </w:r>
    </w:p>
    <w:p>
      <w:pPr>
        <w:pStyle w:val="9"/>
        <w:spacing w:line="360" w:lineRule="auto"/>
        <w:ind w:firstLine="4048" w:firstLineChars="1440"/>
        <w:rPr>
          <w:rFonts w:ascii="新宋体" w:hAnsi="新宋体" w:eastAsia="新宋体"/>
          <w:b/>
          <w:bCs/>
          <w:color w:val="E36C0A"/>
          <w:sz w:val="28"/>
          <w:szCs w:val="28"/>
        </w:rPr>
      </w:pPr>
      <w:r>
        <w:rPr>
          <w:rFonts w:hint="eastAsia" w:ascii="新宋体" w:hAnsi="新宋体" w:eastAsia="新宋体" w:cs="新宋体"/>
          <w:b/>
          <w:bCs/>
          <w:color w:val="E36C0A"/>
          <w:sz w:val="28"/>
          <w:szCs w:val="28"/>
        </w:rPr>
        <w:t>研究所</w:t>
      </w:r>
    </w:p>
    <w:p>
      <w:pPr>
        <w:pStyle w:val="9"/>
        <w:spacing w:line="360" w:lineRule="auto"/>
        <w:jc w:val="center"/>
        <w:rPr>
          <w:rFonts w:ascii="新宋体" w:hAnsi="新宋体" w:eastAsia="新宋体"/>
          <w:sz w:val="18"/>
          <w:szCs w:val="18"/>
        </w:rPr>
      </w:pPr>
    </w:p>
    <w:p>
      <w:pPr>
        <w:pStyle w:val="9"/>
        <w:spacing w:line="360" w:lineRule="auto"/>
        <w:ind w:firstLine="360" w:firstLineChars="200"/>
        <w:jc w:val="left"/>
        <w:rPr>
          <w:rFonts w:ascii="新宋体" w:hAnsi="新宋体" w:eastAsia="新宋体"/>
          <w:sz w:val="18"/>
          <w:szCs w:val="18"/>
        </w:rPr>
      </w:pPr>
      <w:r>
        <w:rPr>
          <w:rFonts w:hint="eastAsia" w:ascii="新宋体" w:hAnsi="新宋体" w:eastAsia="新宋体" w:cs="新宋体"/>
          <w:sz w:val="18"/>
          <w:szCs w:val="18"/>
        </w:rPr>
        <w:t>公司研究所具有一批丰富实战经验的期货产业研究员及专业的优秀分析师，致力于为客户提供中国资本市场</w:t>
      </w:r>
      <w:r>
        <w:rPr>
          <w:rFonts w:hint="eastAsia" w:ascii="新宋体" w:hAnsi="新宋体" w:eastAsia="新宋体" w:cs="新宋体"/>
          <w:b/>
          <w:bCs/>
          <w:sz w:val="18"/>
          <w:szCs w:val="18"/>
        </w:rPr>
        <w:t>前瞻性、可操作性</w:t>
      </w:r>
      <w:r>
        <w:rPr>
          <w:rFonts w:hint="eastAsia" w:ascii="新宋体" w:hAnsi="新宋体" w:eastAsia="新宋体" w:cs="新宋体"/>
          <w:sz w:val="18"/>
          <w:szCs w:val="18"/>
        </w:rPr>
        <w:t>的投资方案及各类型市场的研究报告，通过对市场进行深度挖掘，提示投资机会和市场风险，完成对资本市场现象、规律的研究探索。</w:t>
      </w:r>
    </w:p>
    <w:p>
      <w:pPr>
        <w:pStyle w:val="9"/>
        <w:spacing w:line="360" w:lineRule="auto"/>
        <w:ind w:firstLine="360" w:firstLineChars="200"/>
        <w:jc w:val="left"/>
        <w:rPr>
          <w:rFonts w:ascii="新宋体" w:hAnsi="新宋体" w:eastAsia="新宋体"/>
          <w:sz w:val="18"/>
          <w:szCs w:val="18"/>
        </w:rPr>
      </w:pPr>
      <w:r>
        <w:rPr>
          <w:rFonts w:hint="eastAsia" w:ascii="新宋体" w:hAnsi="新宋体" w:eastAsia="新宋体" w:cs="新宋体"/>
          <w:sz w:val="18"/>
          <w:szCs w:val="18"/>
        </w:rPr>
        <w:t>研究范围涉及目前所有商品期货以及金融衍生品；我们推崇</w:t>
      </w:r>
      <w:r>
        <w:rPr>
          <w:rFonts w:hint="eastAsia" w:ascii="新宋体" w:hAnsi="新宋体" w:eastAsia="新宋体" w:cs="新宋体"/>
          <w:b/>
          <w:bCs/>
          <w:sz w:val="18"/>
          <w:szCs w:val="18"/>
        </w:rPr>
        <w:t>产业链</w:t>
      </w:r>
      <w:r>
        <w:rPr>
          <w:rFonts w:hint="eastAsia" w:ascii="新宋体" w:hAnsi="新宋体" w:eastAsia="新宋体" w:cs="新宋体"/>
          <w:sz w:val="18"/>
          <w:szCs w:val="18"/>
        </w:rPr>
        <w:t>的研究；我们看重</w:t>
      </w:r>
      <w:r>
        <w:rPr>
          <w:rFonts w:hint="eastAsia" w:ascii="新宋体" w:hAnsi="新宋体" w:eastAsia="新宋体" w:cs="新宋体"/>
          <w:b/>
          <w:bCs/>
          <w:sz w:val="18"/>
          <w:szCs w:val="18"/>
        </w:rPr>
        <w:t>数量分析法</w:t>
      </w:r>
      <w:r>
        <w:rPr>
          <w:rFonts w:hint="eastAsia" w:ascii="新宋体" w:hAnsi="新宋体" w:eastAsia="新宋体" w:cs="新宋体"/>
          <w:sz w:val="18"/>
          <w:szCs w:val="18"/>
        </w:rPr>
        <w:t>；我们提倡</w:t>
      </w:r>
      <w:r>
        <w:rPr>
          <w:rFonts w:hint="eastAsia" w:ascii="新宋体" w:hAnsi="新宋体" w:eastAsia="新宋体" w:cs="新宋体"/>
          <w:b/>
          <w:bCs/>
          <w:sz w:val="18"/>
          <w:szCs w:val="18"/>
        </w:rPr>
        <w:t>独立性</w:t>
      </w:r>
      <w:r>
        <w:rPr>
          <w:rFonts w:hint="eastAsia" w:ascii="新宋体" w:hAnsi="新宋体" w:eastAsia="新宋体" w:cs="新宋体"/>
          <w:sz w:val="18"/>
          <w:szCs w:val="18"/>
        </w:rPr>
        <w:t>，鼓励分析师在纷繁复杂的环境下保持清醒。</w:t>
      </w:r>
    </w:p>
    <w:p>
      <w:pPr>
        <w:pStyle w:val="9"/>
        <w:spacing w:line="360" w:lineRule="auto"/>
        <w:ind w:firstLine="360" w:firstLineChars="200"/>
        <w:jc w:val="left"/>
        <w:rPr>
          <w:rFonts w:ascii="新宋体" w:hAnsi="新宋体" w:eastAsia="新宋体"/>
          <w:sz w:val="18"/>
          <w:szCs w:val="18"/>
        </w:rPr>
      </w:pPr>
      <w:r>
        <w:rPr>
          <w:rFonts w:hint="eastAsia" w:ascii="新宋体" w:hAnsi="新宋体" w:eastAsia="新宋体" w:cs="新宋体"/>
          <w:sz w:val="18"/>
          <w:szCs w:val="18"/>
        </w:rPr>
        <w:t>我们将积极依托</w:t>
      </w:r>
      <w:r>
        <w:rPr>
          <w:rFonts w:hint="eastAsia" w:ascii="新宋体" w:hAnsi="新宋体" w:eastAsia="新宋体" w:cs="新宋体"/>
          <w:b/>
          <w:bCs/>
          <w:sz w:val="18"/>
          <w:szCs w:val="18"/>
        </w:rPr>
        <w:t>股东单位</w:t>
      </w:r>
      <w:r>
        <w:rPr>
          <w:rFonts w:ascii="新宋体" w:hAnsi="新宋体" w:eastAsia="新宋体" w:cs="新宋体"/>
          <w:b/>
          <w:bCs/>
          <w:sz w:val="18"/>
          <w:szCs w:val="18"/>
        </w:rPr>
        <w:t>--</w:t>
      </w:r>
      <w:r>
        <w:rPr>
          <w:rFonts w:hint="eastAsia" w:ascii="新宋体" w:hAnsi="新宋体" w:eastAsia="新宋体" w:cs="新宋体"/>
          <w:b/>
          <w:bCs/>
          <w:sz w:val="18"/>
          <w:szCs w:val="18"/>
        </w:rPr>
        <w:t>广州证券</w:t>
      </w:r>
      <w:r>
        <w:rPr>
          <w:rFonts w:hint="eastAsia" w:ascii="新宋体" w:hAnsi="新宋体" w:eastAsia="新宋体" w:cs="新宋体"/>
          <w:sz w:val="18"/>
          <w:szCs w:val="18"/>
        </w:rPr>
        <w:t>在宏观经济、产业领域的高端研究资源优势，以“</w:t>
      </w:r>
      <w:r>
        <w:rPr>
          <w:rFonts w:hint="eastAsia" w:ascii="新宋体" w:hAnsi="新宋体" w:eastAsia="新宋体" w:cs="新宋体"/>
          <w:b/>
          <w:bCs/>
          <w:sz w:val="18"/>
          <w:szCs w:val="18"/>
        </w:rPr>
        <w:t>宏观、产业和行情策略分析</w:t>
      </w:r>
      <w:r>
        <w:rPr>
          <w:rFonts w:hint="eastAsia" w:ascii="新宋体" w:hAnsi="新宋体" w:eastAsia="新宋体" w:cs="新宋体"/>
          <w:sz w:val="18"/>
          <w:szCs w:val="18"/>
        </w:rPr>
        <w:t>”为核心，大力推进市场化和标准化运作，逐步完善研究产品体系，打造具有特色品牌影响力的现代产业与金融研究所。</w:t>
      </w:r>
    </w:p>
    <w:p>
      <w:pPr>
        <w:pStyle w:val="9"/>
        <w:spacing w:line="360" w:lineRule="auto"/>
        <w:ind w:firstLine="360" w:firstLineChars="200"/>
        <w:rPr>
          <w:rFonts w:ascii="新宋体" w:hAnsi="新宋体" w:eastAsia="新宋体"/>
          <w:b/>
          <w:bCs/>
          <w:sz w:val="18"/>
          <w:szCs w:val="18"/>
        </w:rPr>
      </w:pPr>
      <w:r>
        <w:rPr>
          <w:rFonts w:hint="eastAsia" w:ascii="新宋体" w:hAnsi="新宋体" w:eastAsia="新宋体" w:cs="新宋体"/>
          <w:sz w:val="18"/>
          <w:szCs w:val="18"/>
        </w:rPr>
        <w:t>核心理念：</w:t>
      </w:r>
      <w:r>
        <w:rPr>
          <w:rFonts w:hint="eastAsia" w:ascii="新宋体" w:hAnsi="新宋体" w:eastAsia="新宋体" w:cs="新宋体"/>
          <w:b/>
          <w:bCs/>
          <w:sz w:val="18"/>
          <w:szCs w:val="18"/>
        </w:rPr>
        <w:t>研究创造价值，深入带来远见</w:t>
      </w:r>
    </w:p>
    <w:p>
      <w:pPr>
        <w:pStyle w:val="9"/>
        <w:spacing w:line="360" w:lineRule="auto"/>
        <w:ind w:firstLine="361" w:firstLineChars="200"/>
        <w:rPr>
          <w:rFonts w:ascii="新宋体" w:hAnsi="新宋体" w:eastAsia="新宋体"/>
          <w:b/>
          <w:bCs/>
          <w:sz w:val="18"/>
          <w:szCs w:val="18"/>
        </w:rPr>
      </w:pPr>
    </w:p>
    <w:p>
      <w:pPr>
        <w:pStyle w:val="9"/>
        <w:spacing w:line="360" w:lineRule="auto"/>
        <w:jc w:val="center"/>
        <w:rPr>
          <w:rFonts w:ascii="新宋体" w:hAnsi="新宋体" w:eastAsia="新宋体"/>
          <w:b/>
          <w:bCs/>
          <w:color w:val="E36C0A"/>
          <w:sz w:val="28"/>
          <w:szCs w:val="28"/>
        </w:rPr>
      </w:pPr>
      <w:r>
        <w:rPr>
          <w:rFonts w:hint="eastAsia" w:ascii="新宋体" w:hAnsi="新宋体" w:eastAsia="新宋体" w:cs="新宋体"/>
          <w:b/>
          <w:bCs/>
          <w:color w:val="E36C0A"/>
          <w:sz w:val="28"/>
          <w:szCs w:val="28"/>
        </w:rPr>
        <w:t>联系方式</w:t>
      </w:r>
    </w:p>
    <w:p>
      <w:pPr>
        <w:pStyle w:val="9"/>
        <w:spacing w:line="360" w:lineRule="auto"/>
        <w:rPr>
          <w:rFonts w:ascii="新宋体" w:hAnsi="新宋体" w:eastAsia="新宋体"/>
          <w:sz w:val="24"/>
          <w:szCs w:val="24"/>
        </w:rPr>
      </w:pPr>
    </w:p>
    <w:p>
      <w:pPr>
        <w:pStyle w:val="9"/>
        <w:spacing w:line="360" w:lineRule="auto"/>
        <w:jc w:val="center"/>
        <w:rPr>
          <w:rFonts w:ascii="新宋体" w:hAnsi="新宋体" w:eastAsia="新宋体"/>
        </w:rPr>
      </w:pPr>
      <w:r>
        <w:rPr>
          <w:rFonts w:ascii="新宋体" w:hAnsi="新宋体" w:eastAsia="新宋体"/>
          <w:sz w:val="18"/>
          <w:szCs w:val="18"/>
        </w:rPr>
        <w:drawing>
          <wp:inline distT="0" distB="0" distL="114300" distR="114300">
            <wp:extent cx="810895" cy="723265"/>
            <wp:effectExtent l="0" t="0" r="8255" b="635"/>
            <wp:docPr id="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图片1"/>
                    <pic:cNvPicPr>
                      <a:picLocks noChangeAspect="1"/>
                    </pic:cNvPicPr>
                  </pic:nvPicPr>
                  <pic:blipFill>
                    <a:blip r:embed="rId10"/>
                    <a:stretch>
                      <a:fillRect/>
                    </a:stretch>
                  </pic:blipFill>
                  <pic:spPr>
                    <a:xfrm>
                      <a:off x="0" y="0"/>
                      <a:ext cx="810895" cy="723265"/>
                    </a:xfrm>
                    <a:prstGeom prst="rect">
                      <a:avLst/>
                    </a:prstGeom>
                    <a:noFill/>
                    <a:ln w="9525">
                      <a:noFill/>
                    </a:ln>
                  </pic:spPr>
                </pic:pic>
              </a:graphicData>
            </a:graphic>
          </wp:inline>
        </w:drawing>
      </w:r>
      <w:r>
        <w:rPr>
          <w:rFonts w:hint="eastAsia" w:ascii="新宋体" w:hAnsi="新宋体" w:eastAsia="新宋体"/>
        </w:rPr>
        <w:t xml:space="preserve">         </w:t>
      </w:r>
      <w:r>
        <w:rPr>
          <w:rFonts w:ascii="新宋体" w:hAnsi="新宋体" w:eastAsia="新宋体"/>
        </w:rPr>
        <w:drawing>
          <wp:inline distT="0" distB="0" distL="114300" distR="114300">
            <wp:extent cx="731520" cy="731520"/>
            <wp:effectExtent l="0" t="0" r="11430" b="11430"/>
            <wp:docPr id="18" name="图片 1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图片4"/>
                    <pic:cNvPicPr>
                      <a:picLocks noChangeAspect="1"/>
                    </pic:cNvPicPr>
                  </pic:nvPicPr>
                  <pic:blipFill>
                    <a:blip r:embed="rId11"/>
                    <a:stretch>
                      <a:fillRect/>
                    </a:stretch>
                  </pic:blipFill>
                  <pic:spPr>
                    <a:xfrm>
                      <a:off x="0" y="0"/>
                      <a:ext cx="731520" cy="731520"/>
                    </a:xfrm>
                    <a:prstGeom prst="rect">
                      <a:avLst/>
                    </a:prstGeom>
                    <a:noFill/>
                    <a:ln w="9525">
                      <a:noFill/>
                    </a:ln>
                  </pic:spPr>
                </pic:pic>
              </a:graphicData>
            </a:graphic>
          </wp:inline>
        </w:drawing>
      </w:r>
      <w:r>
        <w:rPr>
          <w:rFonts w:hint="eastAsia" w:ascii="新宋体" w:hAnsi="新宋体" w:eastAsia="新宋体"/>
        </w:rPr>
        <w:t xml:space="preserve">          </w:t>
      </w:r>
      <w:r>
        <w:rPr>
          <w:rFonts w:ascii="新宋体" w:hAnsi="新宋体" w:eastAsia="新宋体"/>
        </w:rPr>
        <w:drawing>
          <wp:inline distT="0" distB="0" distL="114300" distR="114300">
            <wp:extent cx="835025" cy="752475"/>
            <wp:effectExtent l="0" t="0" r="3175" b="9525"/>
            <wp:docPr id="19" name="图片 1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图片3"/>
                    <pic:cNvPicPr>
                      <a:picLocks noChangeAspect="1"/>
                    </pic:cNvPicPr>
                  </pic:nvPicPr>
                  <pic:blipFill>
                    <a:blip r:embed="rId12"/>
                    <a:stretch>
                      <a:fillRect/>
                    </a:stretch>
                  </pic:blipFill>
                  <pic:spPr>
                    <a:xfrm>
                      <a:off x="0" y="0"/>
                      <a:ext cx="835025" cy="752475"/>
                    </a:xfrm>
                    <a:prstGeom prst="rect">
                      <a:avLst/>
                    </a:prstGeom>
                    <a:noFill/>
                    <a:ln w="9525">
                      <a:noFill/>
                    </a:ln>
                  </pic:spPr>
                </pic:pic>
              </a:graphicData>
            </a:graphic>
          </wp:inline>
        </w:drawing>
      </w:r>
      <w:r>
        <w:rPr>
          <w:rFonts w:hint="eastAsia" w:ascii="新宋体" w:hAnsi="新宋体" w:eastAsia="新宋体"/>
        </w:rPr>
        <w:t xml:space="preserve">          </w:t>
      </w:r>
      <w:r>
        <w:rPr>
          <w:rFonts w:ascii="新宋体" w:hAnsi="新宋体" w:eastAsia="新宋体"/>
        </w:rPr>
        <w:drawing>
          <wp:inline distT="0" distB="0" distL="114300" distR="114300">
            <wp:extent cx="835025" cy="755650"/>
            <wp:effectExtent l="0" t="0" r="3175" b="6350"/>
            <wp:docPr id="20" name="图片 1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图片2"/>
                    <pic:cNvPicPr>
                      <a:picLocks noChangeAspect="1"/>
                    </pic:cNvPicPr>
                  </pic:nvPicPr>
                  <pic:blipFill>
                    <a:blip r:embed="rId13"/>
                    <a:stretch>
                      <a:fillRect/>
                    </a:stretch>
                  </pic:blipFill>
                  <pic:spPr>
                    <a:xfrm>
                      <a:off x="0" y="0"/>
                      <a:ext cx="835025" cy="755650"/>
                    </a:xfrm>
                    <a:prstGeom prst="rect">
                      <a:avLst/>
                    </a:prstGeom>
                    <a:noFill/>
                    <a:ln w="9525">
                      <a:noFill/>
                    </a:ln>
                  </pic:spPr>
                </pic:pic>
              </a:graphicData>
            </a:graphic>
          </wp:inline>
        </w:drawing>
      </w:r>
    </w:p>
    <w:p>
      <w:pPr>
        <w:pStyle w:val="9"/>
        <w:spacing w:line="360" w:lineRule="auto"/>
        <w:rPr>
          <w:rFonts w:ascii="新宋体" w:hAnsi="新宋体" w:eastAsia="新宋体"/>
          <w:sz w:val="18"/>
          <w:szCs w:val="18"/>
        </w:rPr>
      </w:pPr>
      <w:r>
        <w:rPr>
          <w:rFonts w:hint="eastAsia" w:ascii="新宋体" w:hAnsi="新宋体" w:eastAsia="新宋体" w:cs="新宋体"/>
          <w:sz w:val="18"/>
          <w:szCs w:val="18"/>
        </w:rPr>
        <w:t xml:space="preserve">       金融研究</w:t>
      </w:r>
      <w:r>
        <w:rPr>
          <w:rFonts w:ascii="新宋体" w:hAnsi="新宋体" w:eastAsia="新宋体" w:cs="新宋体"/>
          <w:sz w:val="18"/>
          <w:szCs w:val="18"/>
        </w:rPr>
        <w:t xml:space="preserve">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w:t>
      </w:r>
      <w:r>
        <w:rPr>
          <w:rFonts w:hint="eastAsia" w:ascii="新宋体" w:hAnsi="新宋体" w:eastAsia="新宋体" w:cs="新宋体"/>
          <w:sz w:val="18"/>
          <w:szCs w:val="18"/>
        </w:rPr>
        <w:t>农产品研究</w:t>
      </w:r>
      <w:r>
        <w:rPr>
          <w:rFonts w:ascii="新宋体" w:hAnsi="新宋体" w:eastAsia="新宋体" w:cs="新宋体"/>
          <w:sz w:val="18"/>
          <w:szCs w:val="18"/>
        </w:rPr>
        <w:t xml:space="preserve">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w:t>
      </w:r>
      <w:r>
        <w:rPr>
          <w:rFonts w:hint="eastAsia" w:ascii="新宋体" w:hAnsi="新宋体" w:eastAsia="新宋体" w:cs="新宋体"/>
          <w:sz w:val="18"/>
          <w:szCs w:val="18"/>
        </w:rPr>
        <w:t>金属研究</w:t>
      </w:r>
      <w:r>
        <w:rPr>
          <w:rFonts w:ascii="新宋体" w:hAnsi="新宋体" w:eastAsia="新宋体" w:cs="新宋体"/>
          <w:sz w:val="18"/>
          <w:szCs w:val="18"/>
        </w:rPr>
        <w:t xml:space="preserve">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w:t>
      </w:r>
      <w:r>
        <w:rPr>
          <w:rFonts w:hint="eastAsia" w:ascii="新宋体" w:hAnsi="新宋体" w:eastAsia="新宋体" w:cs="新宋体"/>
          <w:sz w:val="18"/>
          <w:szCs w:val="18"/>
        </w:rPr>
        <w:t>能源化工</w:t>
      </w:r>
    </w:p>
    <w:p>
      <w:pPr>
        <w:pStyle w:val="9"/>
        <w:spacing w:line="360" w:lineRule="auto"/>
        <w:jc w:val="center"/>
        <w:rPr>
          <w:rFonts w:ascii="新宋体" w:hAnsi="新宋体" w:eastAsia="新宋体"/>
          <w:b/>
          <w:bCs/>
          <w:sz w:val="18"/>
          <w:szCs w:val="18"/>
        </w:rPr>
      </w:pPr>
      <w:r>
        <w:rPr>
          <w:rFonts w:ascii="新宋体" w:hAnsi="新宋体" w:eastAsia="新宋体" w:cs="新宋体"/>
          <w:sz w:val="18"/>
          <w:szCs w:val="18"/>
        </w:rPr>
        <w:t xml:space="preserve">020-22139858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020-22139813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020-22139817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020-23382623</w:t>
      </w:r>
    </w:p>
    <w:p>
      <w:pPr>
        <w:pStyle w:val="9"/>
        <w:spacing w:line="360" w:lineRule="auto"/>
        <w:rPr>
          <w:rFonts w:ascii="新宋体" w:hAnsi="新宋体" w:eastAsia="新宋体"/>
          <w:b/>
          <w:bCs/>
          <w:sz w:val="18"/>
          <w:szCs w:val="18"/>
        </w:rPr>
      </w:pPr>
    </w:p>
    <w:p>
      <w:pPr>
        <w:pStyle w:val="9"/>
        <w:spacing w:line="360" w:lineRule="auto"/>
        <w:rPr>
          <w:rFonts w:ascii="新宋体" w:hAnsi="新宋体" w:eastAsia="新宋体" w:cs="新宋体"/>
          <w:sz w:val="18"/>
          <w:szCs w:val="18"/>
        </w:rPr>
      </w:pPr>
      <w:r>
        <w:rPr>
          <w:rFonts w:hint="eastAsia" w:ascii="新宋体" w:hAnsi="新宋体" w:eastAsia="新宋体" w:cs="新宋体"/>
          <w:sz w:val="18"/>
          <w:szCs w:val="18"/>
        </w:rPr>
        <w:t>地址：</w:t>
      </w:r>
      <w:r>
        <w:rPr>
          <w:rFonts w:ascii="新宋体" w:hAnsi="新宋体" w:eastAsia="新宋体" w:cs="新宋体"/>
          <w:sz w:val="18"/>
          <w:szCs w:val="18"/>
        </w:rPr>
        <w:t xml:space="preserve">广州市天河区珠江西路5号广州国际金融中心10楼 </w:t>
      </w:r>
    </w:p>
    <w:p>
      <w:pPr>
        <w:pStyle w:val="9"/>
        <w:spacing w:line="360" w:lineRule="auto"/>
        <w:rPr>
          <w:rFonts w:ascii="新宋体" w:hAnsi="新宋体" w:eastAsia="新宋体" w:cs="新宋体"/>
          <w:sz w:val="18"/>
          <w:szCs w:val="18"/>
        </w:rPr>
      </w:pPr>
      <w:r>
        <w:rPr>
          <w:rFonts w:hint="eastAsia" w:ascii="新宋体" w:hAnsi="新宋体" w:eastAsia="新宋体" w:cs="新宋体"/>
          <w:sz w:val="18"/>
          <w:szCs w:val="18"/>
        </w:rPr>
        <w:t>邮编：</w:t>
      </w:r>
      <w:r>
        <w:rPr>
          <w:rFonts w:ascii="新宋体" w:hAnsi="新宋体" w:eastAsia="新宋体" w:cs="新宋体"/>
          <w:sz w:val="18"/>
          <w:szCs w:val="18"/>
        </w:rPr>
        <w:t>510623</w:t>
      </w:r>
    </w:p>
    <w:p>
      <w:pPr>
        <w:pStyle w:val="9"/>
        <w:spacing w:line="360" w:lineRule="auto"/>
        <w:rPr>
          <w:rFonts w:ascii="新宋体" w:hAnsi="新宋体" w:eastAsia="新宋体"/>
          <w:b/>
          <w:bCs/>
          <w:sz w:val="18"/>
          <w:szCs w:val="18"/>
        </w:rPr>
      </w:pPr>
    </w:p>
    <w:p>
      <w:pPr>
        <w:pStyle w:val="9"/>
        <w:spacing w:line="360" w:lineRule="auto"/>
        <w:jc w:val="center"/>
        <w:rPr>
          <w:rFonts w:ascii="新宋体" w:hAnsi="新宋体" w:eastAsia="新宋体"/>
          <w:b/>
          <w:bCs/>
          <w:color w:val="800000"/>
          <w:sz w:val="18"/>
          <w:szCs w:val="18"/>
        </w:rPr>
      </w:pPr>
      <w:r>
        <w:rPr>
          <w:rFonts w:hint="eastAsia" w:ascii="新宋体" w:hAnsi="新宋体" w:eastAsia="新宋体" w:cs="新宋体"/>
          <w:b/>
          <w:bCs/>
          <w:color w:val="800000"/>
          <w:sz w:val="18"/>
          <w:szCs w:val="18"/>
        </w:rPr>
        <w:t>免责声明</w:t>
      </w:r>
    </w:p>
    <w:p>
      <w:pPr>
        <w:pStyle w:val="9"/>
        <w:spacing w:line="360" w:lineRule="auto"/>
        <w:ind w:firstLine="360" w:firstLineChars="200"/>
      </w:pPr>
      <w:r>
        <w:rPr>
          <w:rFonts w:hint="eastAsia" w:ascii="新宋体" w:hAnsi="新宋体" w:eastAsia="新宋体" w:cs="新宋体"/>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headerReference r:id="rId3" w:type="default"/>
      <w:footerReference r:id="rId4" w:type="default"/>
      <w:footerReference r:id="rId5" w:type="even"/>
      <w:pgSz w:w="11906" w:h="16838"/>
      <w:pgMar w:top="1440" w:right="1797" w:bottom="731"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Gill Sans">
    <w:altName w:val="Times New Roman"/>
    <w:panose1 w:val="00000000000000000000"/>
    <w:charset w:val="00"/>
    <w:family w:val="auto"/>
    <w:pitch w:val="default"/>
    <w:sig w:usb0="00000000" w:usb1="00000000" w:usb2="00000000" w:usb3="00000000" w:csb0="0000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jc w:val="left"/>
      <w:rPr>
        <w:rFonts w:ascii="新宋体" w:hAnsi="新宋体" w:eastAsia="新宋体"/>
        <w:bCs/>
        <w:sz w:val="24"/>
        <w:szCs w:val="24"/>
      </w:rPr>
    </w:pPr>
    <w:r>
      <w:drawing>
        <wp:anchor distT="0" distB="0" distL="114300" distR="114300" simplePos="0" relativeHeight="251658240" behindDoc="0" locked="0" layoutInCell="1" allowOverlap="1">
          <wp:simplePos x="0" y="0"/>
          <wp:positionH relativeFrom="column">
            <wp:posOffset>-685800</wp:posOffset>
          </wp:positionH>
          <wp:positionV relativeFrom="paragraph">
            <wp:posOffset>-300355</wp:posOffset>
          </wp:positionV>
          <wp:extent cx="2055495" cy="732155"/>
          <wp:effectExtent l="0" t="0" r="0" b="0"/>
          <wp:wrapNone/>
          <wp:docPr id="21" name="图片 1027"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27" descr="广期新vi短称(越秀新版)"/>
                  <pic:cNvPicPr>
                    <a:picLocks noChangeAspect="1"/>
                  </pic:cNvPicPr>
                </pic:nvPicPr>
                <pic:blipFill>
                  <a:blip r:embed="rId1"/>
                  <a:stretch>
                    <a:fillRect/>
                  </a:stretch>
                </pic:blipFill>
                <pic:spPr>
                  <a:xfrm>
                    <a:off x="0" y="0"/>
                    <a:ext cx="2055495" cy="73215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C6364"/>
    <w:rsid w:val="02D95AEE"/>
    <w:rsid w:val="0C2B6810"/>
    <w:rsid w:val="0D5F017A"/>
    <w:rsid w:val="0F124494"/>
    <w:rsid w:val="151A4A44"/>
    <w:rsid w:val="1C455A75"/>
    <w:rsid w:val="1EB73E81"/>
    <w:rsid w:val="1ED87426"/>
    <w:rsid w:val="2ED97A13"/>
    <w:rsid w:val="315A6E42"/>
    <w:rsid w:val="382C0C73"/>
    <w:rsid w:val="3A812633"/>
    <w:rsid w:val="3FDD51C7"/>
    <w:rsid w:val="412C0111"/>
    <w:rsid w:val="419A388F"/>
    <w:rsid w:val="41AD788D"/>
    <w:rsid w:val="41C63E05"/>
    <w:rsid w:val="454B13D4"/>
    <w:rsid w:val="46976CEF"/>
    <w:rsid w:val="47AC0C00"/>
    <w:rsid w:val="47AC22CE"/>
    <w:rsid w:val="48F631E8"/>
    <w:rsid w:val="49F537E8"/>
    <w:rsid w:val="4BF36425"/>
    <w:rsid w:val="58563535"/>
    <w:rsid w:val="593727C0"/>
    <w:rsid w:val="5A1437E6"/>
    <w:rsid w:val="5A144AF0"/>
    <w:rsid w:val="5B680A1F"/>
    <w:rsid w:val="5E1E5BA2"/>
    <w:rsid w:val="61211AAB"/>
    <w:rsid w:val="63233CA2"/>
    <w:rsid w:val="635C6364"/>
    <w:rsid w:val="6DF3613E"/>
    <w:rsid w:val="6E317FB2"/>
    <w:rsid w:val="72472A84"/>
    <w:rsid w:val="75FF5A36"/>
    <w:rsid w:val="78344FA0"/>
    <w:rsid w:val="788127D5"/>
    <w:rsid w:val="7E791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szCs w:val="24"/>
    </w:rPr>
  </w:style>
  <w:style w:type="character" w:styleId="6">
    <w:name w:val="page number"/>
    <w:basedOn w:val="5"/>
    <w:qFormat/>
    <w:uiPriority w:val="0"/>
  </w:style>
  <w:style w:type="paragraph" w:customStyle="1" w:styleId="8">
    <w:name w:val="p15"/>
    <w:basedOn w:val="1"/>
    <w:qFormat/>
    <w:uiPriority w:val="0"/>
    <w:pPr>
      <w:widowControl/>
    </w:pPr>
    <w:rPr>
      <w:kern w:val="0"/>
      <w:szCs w:val="21"/>
    </w:rPr>
  </w:style>
  <w:style w:type="paragraph" w:customStyle="1" w:styleId="9">
    <w:name w:val="p17"/>
    <w:basedOn w:val="1"/>
    <w:qFormat/>
    <w:uiPriority w:val="0"/>
    <w:pPr>
      <w:widowControl/>
    </w:pPr>
    <w:rPr>
      <w:kern w:val="0"/>
      <w:szCs w:val="21"/>
    </w:rPr>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1.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2017-08-15T08:11:00Z</dcterms:created>
  <dc:creator>gzqh</dc:creator>
  <cp:lastModifiedBy>gzqh</cp:lastModifiedBy>
  <dcterms:modified xsi:type="dcterms:W3CDTF">2017-09-25T01:56:13Z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