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b/>
          <w:bCs/>
          <w:sz w:val="28"/>
          <w:szCs w:val="36"/>
          <w:lang w:val="en-US" w:eastAsia="zh-CN"/>
        </w:rPr>
      </w:pPr>
      <w:r>
        <w:rPr>
          <w:color w:val="FFFFFF"/>
        </w:rPr>
        <mc:AlternateContent>
          <mc:Choice Requires="wps">
            <w:drawing>
              <wp:anchor distT="0" distB="0" distL="114300" distR="114300" simplePos="0" relativeHeight="251663360" behindDoc="0" locked="0" layoutInCell="1" allowOverlap="1">
                <wp:simplePos x="0" y="0"/>
                <wp:positionH relativeFrom="column">
                  <wp:posOffset>-730885</wp:posOffset>
                </wp:positionH>
                <wp:positionV relativeFrom="paragraph">
                  <wp:posOffset>1889760</wp:posOffset>
                </wp:positionV>
                <wp:extent cx="7086600" cy="1386840"/>
                <wp:effectExtent l="0" t="0" r="0" b="0"/>
                <wp:wrapNone/>
                <wp:docPr id="4" name="Text Box 8"/>
                <wp:cNvGraphicFramePr/>
                <a:graphic xmlns:a="http://schemas.openxmlformats.org/drawingml/2006/main">
                  <a:graphicData uri="http://schemas.microsoft.com/office/word/2010/wordprocessingShape">
                    <wps:wsp>
                      <wps:cNvSpPr txBox="1">
                        <a:spLocks noChangeArrowheads="1"/>
                      </wps:cNvSpPr>
                      <wps:spPr bwMode="auto">
                        <a:xfrm>
                          <a:off x="0" y="0"/>
                          <a:ext cx="7086600" cy="1386840"/>
                        </a:xfrm>
                        <a:prstGeom prst="rect">
                          <a:avLst/>
                        </a:prstGeom>
                        <a:noFill/>
                        <a:ln>
                          <a:noFill/>
                        </a:ln>
                        <a:effectLst/>
                      </wps:spPr>
                      <wps:txbx>
                        <w:txbxContent>
                          <w:p>
                            <w:pPr>
                              <w:jc w:val="center"/>
                              <w:rPr>
                                <w:rFonts w:ascii="黑体" w:hAnsi="微软雅黑" w:eastAsia="黑体"/>
                                <w:b/>
                                <w:color w:val="422100"/>
                                <w:sz w:val="60"/>
                                <w:szCs w:val="60"/>
                              </w:rPr>
                            </w:pPr>
                            <w:r>
                              <w:rPr>
                                <w:rFonts w:hint="eastAsia" w:ascii="黑体" w:hAnsi="微软雅黑" w:eastAsia="黑体"/>
                                <w:b/>
                                <w:color w:val="422100"/>
                                <w:sz w:val="60"/>
                                <w:szCs w:val="60"/>
                              </w:rPr>
                              <w:t>广州期货</w:t>
                            </w:r>
                            <w:r>
                              <w:rPr>
                                <w:rFonts w:hint="eastAsia" w:ascii="黑体" w:hAnsi="微软雅黑" w:eastAsia="黑体"/>
                                <w:b/>
                                <w:color w:val="422100"/>
                                <w:sz w:val="60"/>
                                <w:szCs w:val="60"/>
                                <w:lang w:eastAsia="zh-CN"/>
                              </w:rPr>
                              <w:t>宏观专题报告</w:t>
                            </w:r>
                          </w:p>
                        </w:txbxContent>
                      </wps:txbx>
                      <wps:bodyPr rot="0" vert="horz" wrap="square" lIns="91440" tIns="45720" rIns="91440" bIns="45720" anchor="t" anchorCtr="0" upright="1">
                        <a:noAutofit/>
                      </wps:bodyPr>
                    </wps:wsp>
                  </a:graphicData>
                </a:graphic>
              </wp:anchor>
            </w:drawing>
          </mc:Choice>
          <mc:Fallback>
            <w:pict>
              <v:shape id="Text Box 8" o:spid="_x0000_s1026" o:spt="202" type="#_x0000_t202" style="position:absolute;left:0pt;margin-left:-57.55pt;margin-top:148.8pt;height:109.2pt;width:558pt;z-index:251663360;mso-width-relative:page;mso-height-relative:page;" filled="f" stroked="f" coordsize="21600,21600" o:gfxdata="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4EmM7ZAAAADQEAAA8AAAAAAAAAAQAgAAAAIgAAAGRycy9kb3ducmV2LnhtbFBLAQIU&#10;ABQAAAAIAIdO4kDFQ3JX8gEAANUDAAAOAAAAAAAAAAEAIAAAACgBAABkcnMvZTJvRG9jLnhtbFBL&#10;BQYAAAAABgAGAFkBAACMBQAAAAA=&#10;">
                <v:path/>
                <v:fill on="f" focussize="0,0"/>
                <v:stroke on="f"/>
                <v:imagedata o:title=""/>
                <o:lock v:ext="edit" aspectratio="f"/>
                <v:textbox>
                  <w:txbxContent>
                    <w:p>
                      <w:pPr>
                        <w:jc w:val="center"/>
                        <w:rPr>
                          <w:rFonts w:ascii="黑体" w:hAnsi="微软雅黑" w:eastAsia="黑体"/>
                          <w:b/>
                          <w:color w:val="422100"/>
                          <w:sz w:val="60"/>
                          <w:szCs w:val="60"/>
                        </w:rPr>
                      </w:pPr>
                      <w:r>
                        <w:rPr>
                          <w:rFonts w:hint="eastAsia" w:ascii="黑体" w:hAnsi="微软雅黑" w:eastAsia="黑体"/>
                          <w:b/>
                          <w:color w:val="422100"/>
                          <w:sz w:val="60"/>
                          <w:szCs w:val="60"/>
                        </w:rPr>
                        <w:t>广州期货</w:t>
                      </w:r>
                      <w:r>
                        <w:rPr>
                          <w:rFonts w:hint="eastAsia" w:ascii="黑体" w:hAnsi="微软雅黑" w:eastAsia="黑体"/>
                          <w:b/>
                          <w:color w:val="422100"/>
                          <w:sz w:val="60"/>
                          <w:szCs w:val="60"/>
                          <w:lang w:eastAsia="zh-CN"/>
                        </w:rPr>
                        <w:t>宏观专题报告</w:t>
                      </w:r>
                    </w:p>
                  </w:txbxContent>
                </v:textbox>
              </v:shape>
            </w:pict>
          </mc:Fallback>
        </mc:AlternateContent>
      </w:r>
      <w:r>
        <w:drawing>
          <wp:anchor distT="0" distB="0" distL="114300" distR="114300" simplePos="0" relativeHeight="251661312" behindDoc="1" locked="0" layoutInCell="1" allowOverlap="1">
            <wp:simplePos x="0" y="0"/>
            <wp:positionH relativeFrom="column">
              <wp:posOffset>-1180465</wp:posOffset>
            </wp:positionH>
            <wp:positionV relativeFrom="paragraph">
              <wp:posOffset>-979805</wp:posOffset>
            </wp:positionV>
            <wp:extent cx="7630160" cy="10797540"/>
            <wp:effectExtent l="0" t="0" r="8890" b="3810"/>
            <wp:wrapNone/>
            <wp:docPr id="17" name="图片 17" descr="新vi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新vi封面"/>
                    <pic:cNvPicPr>
                      <a:picLocks noChangeAspect="1" noChangeArrowheads="1"/>
                    </pic:cNvPicPr>
                  </pic:nvPicPr>
                  <pic:blipFill>
                    <a:blip r:embed="rId4"/>
                    <a:srcRect/>
                    <a:stretch>
                      <a:fillRect/>
                    </a:stretch>
                  </pic:blipFill>
                  <pic:spPr>
                    <a:xfrm>
                      <a:off x="0" y="0"/>
                      <a:ext cx="7630160" cy="10797540"/>
                    </a:xfrm>
                    <a:prstGeom prst="rect">
                      <a:avLst/>
                    </a:prstGeom>
                    <a:noFill/>
                    <a:ln w="9525">
                      <a:noFill/>
                      <a:miter lim="800000"/>
                      <a:headEnd/>
                      <a:tailEnd/>
                    </a:ln>
                    <a:effectLst/>
                  </pic:spPr>
                </pic:pic>
              </a:graphicData>
            </a:graphic>
          </wp:anchor>
        </w:drawing>
      </w:r>
      <w:r>
        <w:drawing>
          <wp:anchor distT="0" distB="0" distL="114300" distR="114300" simplePos="0" relativeHeight="251660288" behindDoc="0" locked="0" layoutInCell="1" allowOverlap="1">
            <wp:simplePos x="0" y="0"/>
            <wp:positionH relativeFrom="column">
              <wp:posOffset>3886200</wp:posOffset>
            </wp:positionH>
            <wp:positionV relativeFrom="paragraph">
              <wp:posOffset>-392430</wp:posOffset>
            </wp:positionV>
            <wp:extent cx="2074545" cy="739140"/>
            <wp:effectExtent l="0" t="0" r="0" b="0"/>
            <wp:wrapNone/>
            <wp:docPr id="18" name="图片 18" descr="广期新vi短称(越秀新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广期新vi短称(越秀新版)"/>
                    <pic:cNvPicPr>
                      <a:picLocks noChangeAspect="1" noChangeArrowheads="1"/>
                    </pic:cNvPicPr>
                  </pic:nvPicPr>
                  <pic:blipFill>
                    <a:blip r:embed="rId5" cstate="print"/>
                    <a:srcRect/>
                    <a:stretch>
                      <a:fillRect/>
                    </a:stretch>
                  </pic:blipFill>
                  <pic:spPr>
                    <a:xfrm>
                      <a:off x="0" y="0"/>
                      <a:ext cx="2074545" cy="739140"/>
                    </a:xfrm>
                    <a:prstGeom prst="rect">
                      <a:avLst/>
                    </a:prstGeom>
                    <a:noFill/>
                    <a:ln w="9525">
                      <a:noFill/>
                      <a:miter lim="800000"/>
                      <a:headEnd/>
                      <a:tailEnd/>
                    </a:ln>
                    <a:effectLst/>
                  </pic:spPr>
                </pic:pic>
              </a:graphicData>
            </a:graphic>
          </wp:anchor>
        </w:drawing>
      </w:r>
      <w:r>
        <w:rPr>
          <w:rFonts w:hint="eastAsia"/>
          <w:b/>
          <w:bCs/>
          <w:sz w:val="28"/>
          <w:szCs w:val="36"/>
          <w:lang w:val="en-US" w:eastAsia="zh-CN"/>
        </w:rPr>
        <w:br w:type="page"/>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b/>
          <w:bCs/>
          <w:sz w:val="28"/>
          <w:szCs w:val="36"/>
          <w:lang w:val="en-US" w:eastAsia="zh-CN"/>
        </w:rPr>
      </w:pPr>
      <w:r>
        <w:rPr>
          <w:rFonts w:hint="eastAsia"/>
          <w:b/>
          <w:bCs/>
          <w:sz w:val="28"/>
          <w:szCs w:val="36"/>
          <w:lang w:val="en-US" w:eastAsia="zh-CN"/>
        </w:rPr>
        <w:t>黑天鹅再现 全球资本市场未来路在何方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sz w:val="22"/>
          <w:szCs w:val="28"/>
          <w:lang w:val="en-US" w:eastAsia="zh-CN"/>
        </w:rPr>
      </w:pPr>
      <w:r>
        <w:rPr>
          <w:rFonts w:hint="eastAsia"/>
          <w:sz w:val="22"/>
          <w:szCs w:val="28"/>
          <w:lang w:val="en-US" w:eastAsia="zh-CN"/>
        </w:rPr>
        <w:t xml:space="preserve">广州期货研究所研究员 叶倩宁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sz w:val="22"/>
          <w:szCs w:val="28"/>
          <w:lang w:val="en-US" w:eastAsia="zh-CN"/>
        </w:rPr>
      </w:pPr>
      <w:bookmarkStart w:id="0" w:name="_GoBack"/>
      <w:bookmarkEnd w:id="0"/>
      <w:r>
        <w:rPr>
          <w:rFonts w:hint="eastAsia"/>
          <w:sz w:val="22"/>
          <w:szCs w:val="28"/>
          <w:lang w:val="en-US" w:eastAsia="zh-CN"/>
        </w:rPr>
        <w:t>从业资格号：F3022667</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textAlignment w:val="auto"/>
        <w:outlineLvl w:val="9"/>
        <w:rPr>
          <w:rFonts w:hint="eastAsia"/>
          <w:sz w:val="22"/>
          <w:szCs w:val="28"/>
          <w:lang w:val="en-US" w:eastAsia="zh-CN"/>
        </w:rPr>
      </w:pPr>
      <w:r>
        <w:rPr>
          <w:rFonts w:hint="eastAsia"/>
          <w:sz w:val="22"/>
          <w:szCs w:val="28"/>
          <w:lang w:val="en-US" w:eastAsia="zh-CN"/>
        </w:rPr>
        <w:t>随着最后投票结果出炉，特朗普最终以289票的选举人票的优势当选美国新一届总统，这场历时近一年的美国总统大选似乎终于尘埃落定，如今我们需要更多把目光放在未来四年上，对其在全球资本市场上带来的不稳定性进行充分的预期。</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textAlignment w:val="auto"/>
        <w:outlineLvl w:val="9"/>
        <w:rPr>
          <w:rFonts w:hint="eastAsia"/>
          <w:sz w:val="22"/>
          <w:szCs w:val="28"/>
          <w:lang w:val="en-US" w:eastAsia="zh-CN"/>
        </w:rPr>
      </w:pPr>
      <w:r>
        <w:rPr>
          <w:rFonts w:hint="eastAsia"/>
          <w:sz w:val="22"/>
          <w:szCs w:val="28"/>
          <w:lang w:val="en-US" w:eastAsia="zh-CN"/>
        </w:rPr>
        <w:t>事实上，在特朗普和希拉里之间，其实是变与不变的选择。回望奥巴马为首的民主党八年来的执政成果，中东问题、非法移民问题、中国的崛起，都显示美国在国际上的影响力都在逐渐减弱，在众多立场上显得软弱，若希拉里当选，她势必会延续奥巴马政府的执政理念，从选举的结果来看，这显然不是美国民众想要看到的。而以特朗普为首的共和党，很明显是看到民主党执政以来的问题，并借此抓住来煽动民众对其的不满，加上民众长久以来对“政客虚伪”的厌恶，使他们更偏爱一位不依附权势，愿意为草根阶层发声的领导人。那么，这位在华尔街被视为“疯子”、被其支持者视为“英雄”的新领导人，未来到底会在经济上作出怎样的改变，他又会为全球资本市场带来什么影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textAlignment w:val="auto"/>
        <w:outlineLvl w:val="9"/>
        <w:rPr>
          <w:rFonts w:hint="eastAsia"/>
          <w:sz w:val="22"/>
          <w:szCs w:val="28"/>
          <w:lang w:val="en-US" w:eastAsia="zh-CN"/>
        </w:rPr>
      </w:pPr>
      <w:r>
        <w:rPr>
          <w:rFonts w:hint="eastAsia"/>
          <w:sz w:val="22"/>
          <w:szCs w:val="28"/>
          <w:lang w:val="en-US" w:eastAsia="zh-CN"/>
        </w:rPr>
        <w:t>回顾11月9日大选唱票期间全球市场的震动，在北京时间下午1点左右，此时特朗普已经在佛罗里达、俄亥俄等多个摇摆州显示的优势。美国市场方面，道琼斯指数指期货跌幅扩大至逾800点，而标普500指数期货、纳指期货均已触发熔断。美元指数当日从高位下跌接近3%，避险的黄金最高上涨了4.3%。亚太区市场方面，日经指数日内最大跌幅为6.58%，恒生指数最大跌幅为4.33%，而沪指也一度跳水了50点。市场对特朗普的恐惧在大选过程中一路相随，恐慌指数（VIX）每逢出现利好他的当选的事件出现便会即刻攀升。然而，我们也需要注意到，在特朗普胜选发表了演说的第二天，市场的恐慌就被快速修复，日经指数上涨6.7%，恒指涨超2%，美国三大指数期货也有恢复性上涨。这似乎透露出，特朗普的上台并没有这么可怕，至少在短期内不会有太大的影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textAlignment w:val="auto"/>
        <w:outlineLvl w:val="9"/>
        <w:rPr>
          <w:rFonts w:hint="eastAsia"/>
          <w:sz w:val="22"/>
          <w:szCs w:val="28"/>
          <w:lang w:val="en-US" w:eastAsia="zh-CN"/>
        </w:rPr>
      </w:pPr>
      <w:r>
        <w:rPr>
          <w:rFonts w:hint="eastAsia"/>
          <w:sz w:val="22"/>
          <w:szCs w:val="28"/>
          <w:lang w:val="en-US" w:eastAsia="zh-CN"/>
        </w:rPr>
        <w:t>从特朗普最新的演说来看，他未来施政的不确定性更多是在处理种族、移民和外交的问题上。但在经济改革上，他却给出了肯定的答案。特朗普在参选时的口号是“Make America great again（使美国重新变强大）”，他在多个场合也强调，他的治理方针将会“重国内，轻国外”，将大力发展美国基础建设，增加财政支出，并致力于振兴美国的本土企业，通过减税、增加负债让投资回流美国。特朗普在胜选演说中表现亲和，他强调要团结各个派别来一同发展，这也在一定程度上缓解了市场的不安情绪，他并没有这么的极端。而特朗普明确重点发展基建，本日国内期货市场有色金属大部分合约出现涨停，外盘LME各个有色金属指数涨势同样明显，种种迹象都预示着明年商品市场同样会是大年，越是市场化成熟度高的市场越能体现这一趋势。</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textAlignment w:val="auto"/>
        <w:outlineLvl w:val="9"/>
        <w:rPr>
          <w:rFonts w:hint="eastAsia"/>
          <w:sz w:val="22"/>
          <w:szCs w:val="28"/>
          <w:lang w:val="en-US" w:eastAsia="zh-CN"/>
        </w:rPr>
      </w:pPr>
      <w:r>
        <w:rPr>
          <w:rFonts w:hint="eastAsia"/>
          <w:sz w:val="22"/>
          <w:szCs w:val="28"/>
          <w:lang w:val="en-US" w:eastAsia="zh-CN"/>
        </w:rPr>
        <w:t>但是，风险与机遇是长久同行的朋友，特朗普的上任可能加速美国加息的进程，贸易保护主义的崛起，对全球资产安全、中国“一带一路”的输出都是存在的危机。从年中英国“脱欧”到特朗普当选美国总统，这两只大的“黑天鹅”都说明，只有做好最充分的准备，合理的预期，要多渠道地收集民意，不可尽信主流媒体的论调，才能把“伤害”减到最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textAlignment w:val="auto"/>
        <w:outlineLvl w:val="9"/>
        <w:rPr>
          <w:rFonts w:hint="eastAsia"/>
          <w:sz w:val="22"/>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textAlignment w:val="auto"/>
        <w:outlineLvl w:val="9"/>
        <w:rPr>
          <w:rFonts w:hint="eastAsia"/>
          <w:sz w:val="22"/>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textAlignment w:val="auto"/>
        <w:outlineLvl w:val="9"/>
        <w:rPr>
          <w:rFonts w:hint="eastAsia"/>
          <w:sz w:val="22"/>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textAlignment w:val="auto"/>
        <w:outlineLvl w:val="9"/>
        <w:rPr>
          <w:rFonts w:hint="eastAsia"/>
          <w:sz w:val="22"/>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sz w:val="22"/>
          <w:szCs w:val="28"/>
          <w:lang w:val="en-US" w:eastAsia="zh-CN"/>
        </w:rPr>
      </w:pPr>
      <w:r>
        <w:rPr>
          <w:rFonts w:hint="eastAsia"/>
          <w:sz w:val="22"/>
          <w:szCs w:val="28"/>
          <w:lang w:val="en-US" w:eastAsia="zh-CN"/>
        </w:rPr>
        <w:br w:type="page"/>
      </w:r>
    </w:p>
    <w:p>
      <w:pPr>
        <w:pStyle w:val="7"/>
        <w:jc w:val="center"/>
        <w:rPr>
          <w:rFonts w:hint="eastAsia" w:ascii="宋体" w:hAnsi="宋体"/>
          <w:b/>
          <w:bCs/>
          <w:color w:val="000080"/>
          <w:sz w:val="28"/>
          <w:szCs w:val="28"/>
        </w:rPr>
      </w:pPr>
      <w:r>
        <w:rPr>
          <w:rFonts w:hint="eastAsia" w:ascii="宋体" w:hAnsi="宋体"/>
          <w:b/>
          <w:bCs/>
          <w:color w:val="000080"/>
          <w:sz w:val="28"/>
          <w:szCs w:val="28"/>
        </w:rPr>
        <w:t>研究所</w:t>
      </w:r>
    </w:p>
    <w:p>
      <w:pPr>
        <w:pStyle w:val="7"/>
        <w:spacing w:line="360" w:lineRule="auto"/>
        <w:jc w:val="left"/>
        <w:rPr>
          <w:rFonts w:ascii="宋体" w:hAnsi="宋体"/>
          <w:sz w:val="18"/>
          <w:szCs w:val="18"/>
        </w:rPr>
      </w:pPr>
      <w:r>
        <w:rPr>
          <w:rFonts w:hint="eastAsia" w:ascii="宋体" w:hAnsi="宋体"/>
          <w:sz w:val="18"/>
          <w:szCs w:val="18"/>
        </w:rPr>
        <w:t>公司研究所具有一批丰富实战经验的期货产业研究员及专业的优秀分析师，致力于为客户提供中国资本市场</w:t>
      </w:r>
      <w:r>
        <w:rPr>
          <w:rFonts w:hint="eastAsia" w:ascii="宋体" w:hAnsi="宋体"/>
          <w:b/>
          <w:bCs/>
          <w:sz w:val="18"/>
          <w:szCs w:val="18"/>
        </w:rPr>
        <w:t>前瞻性、可操作性</w:t>
      </w:r>
      <w:r>
        <w:rPr>
          <w:rFonts w:hint="eastAsia" w:ascii="宋体" w:hAnsi="宋体"/>
          <w:sz w:val="18"/>
          <w:szCs w:val="18"/>
        </w:rPr>
        <w:t>的投资方案及各类型市场的研究报告，通过对市场进行深度挖掘，提示投资机会和市场风险，完成对资本市场现象、规律的研究探索。</w:t>
      </w:r>
    </w:p>
    <w:p>
      <w:pPr>
        <w:pStyle w:val="7"/>
        <w:spacing w:line="360" w:lineRule="auto"/>
        <w:ind w:firstLine="360" w:firstLineChars="200"/>
        <w:jc w:val="left"/>
        <w:rPr>
          <w:rFonts w:ascii="宋体" w:hAnsi="宋体"/>
          <w:sz w:val="18"/>
          <w:szCs w:val="18"/>
        </w:rPr>
      </w:pPr>
      <w:r>
        <w:rPr>
          <w:rFonts w:hint="eastAsia" w:ascii="宋体" w:hAnsi="宋体"/>
          <w:sz w:val="18"/>
          <w:szCs w:val="18"/>
        </w:rPr>
        <w:t>研究范围涉及目前所有商品期货以及金融衍生品；我们推崇</w:t>
      </w:r>
      <w:r>
        <w:rPr>
          <w:rFonts w:hint="eastAsia" w:ascii="宋体" w:hAnsi="宋体"/>
          <w:b/>
          <w:bCs/>
          <w:sz w:val="18"/>
          <w:szCs w:val="18"/>
        </w:rPr>
        <w:t>产业链</w:t>
      </w:r>
      <w:r>
        <w:rPr>
          <w:rFonts w:hint="eastAsia" w:ascii="宋体" w:hAnsi="宋体"/>
          <w:sz w:val="18"/>
          <w:szCs w:val="18"/>
        </w:rPr>
        <w:t>的研究；我们看重</w:t>
      </w:r>
      <w:r>
        <w:rPr>
          <w:rFonts w:hint="eastAsia" w:ascii="宋体" w:hAnsi="宋体"/>
          <w:b/>
          <w:bCs/>
          <w:sz w:val="18"/>
          <w:szCs w:val="18"/>
        </w:rPr>
        <w:t>数量分析法</w:t>
      </w:r>
      <w:r>
        <w:rPr>
          <w:rFonts w:hint="eastAsia" w:ascii="宋体" w:hAnsi="宋体"/>
          <w:sz w:val="18"/>
          <w:szCs w:val="18"/>
        </w:rPr>
        <w:t>；我们提倡</w:t>
      </w:r>
      <w:r>
        <w:rPr>
          <w:rFonts w:hint="eastAsia" w:ascii="宋体" w:hAnsi="宋体"/>
          <w:b/>
          <w:bCs/>
          <w:sz w:val="18"/>
          <w:szCs w:val="18"/>
        </w:rPr>
        <w:t>独立性</w:t>
      </w:r>
      <w:r>
        <w:rPr>
          <w:rFonts w:hint="eastAsia" w:ascii="宋体" w:hAnsi="宋体"/>
          <w:sz w:val="18"/>
          <w:szCs w:val="18"/>
        </w:rPr>
        <w:t>，鼓励分析师在纷繁复杂的环境下保持清醒。</w:t>
      </w:r>
    </w:p>
    <w:p>
      <w:pPr>
        <w:pStyle w:val="7"/>
        <w:spacing w:line="360" w:lineRule="auto"/>
        <w:ind w:firstLine="360" w:firstLineChars="200"/>
        <w:jc w:val="left"/>
        <w:rPr>
          <w:rFonts w:ascii="宋体" w:hAnsi="宋体"/>
          <w:sz w:val="18"/>
          <w:szCs w:val="18"/>
        </w:rPr>
      </w:pPr>
      <w:r>
        <w:rPr>
          <w:rFonts w:hint="eastAsia" w:ascii="宋体" w:hAnsi="宋体"/>
          <w:sz w:val="18"/>
          <w:szCs w:val="18"/>
        </w:rPr>
        <w:t>我们将积极依托</w:t>
      </w:r>
      <w:r>
        <w:rPr>
          <w:rFonts w:hint="eastAsia" w:ascii="宋体" w:hAnsi="宋体"/>
          <w:b/>
          <w:bCs/>
          <w:sz w:val="18"/>
          <w:szCs w:val="18"/>
        </w:rPr>
        <w:t>股东单位--广州证券</w:t>
      </w:r>
      <w:r>
        <w:rPr>
          <w:rFonts w:hint="eastAsia" w:ascii="宋体" w:hAnsi="宋体"/>
          <w:sz w:val="18"/>
          <w:szCs w:val="18"/>
        </w:rPr>
        <w:t>在宏观经济、产业领域的高端研究资源优势，以“</w:t>
      </w:r>
      <w:r>
        <w:rPr>
          <w:rFonts w:hint="eastAsia" w:ascii="宋体" w:hAnsi="宋体"/>
          <w:b/>
          <w:bCs/>
          <w:sz w:val="18"/>
          <w:szCs w:val="18"/>
        </w:rPr>
        <w:t>宏观、产业和行情策略分析</w:t>
      </w:r>
      <w:r>
        <w:rPr>
          <w:rFonts w:hint="eastAsia" w:ascii="宋体" w:hAnsi="宋体"/>
          <w:sz w:val="18"/>
          <w:szCs w:val="18"/>
        </w:rPr>
        <w:t>”为核心，大力推进市场化和标准化运作，逐步完善研究产品体系，打造具有特色品牌影响力的现代产业与金融研究部。</w:t>
      </w:r>
    </w:p>
    <w:p>
      <w:pPr>
        <w:pStyle w:val="7"/>
        <w:spacing w:line="360" w:lineRule="auto"/>
        <w:ind w:firstLine="360" w:firstLineChars="200"/>
        <w:rPr>
          <w:rFonts w:ascii="宋体" w:hAnsi="宋体"/>
          <w:b/>
          <w:bCs/>
          <w:sz w:val="18"/>
          <w:szCs w:val="18"/>
        </w:rPr>
      </w:pPr>
      <w:r>
        <w:rPr>
          <w:rFonts w:hint="eastAsia" w:ascii="宋体" w:hAnsi="宋体"/>
          <w:sz w:val="18"/>
          <w:szCs w:val="18"/>
        </w:rPr>
        <w:t>核心理念：</w:t>
      </w:r>
      <w:r>
        <w:rPr>
          <w:rFonts w:hint="eastAsia" w:ascii="宋体" w:hAnsi="宋体"/>
          <w:b/>
          <w:bCs/>
          <w:sz w:val="18"/>
          <w:szCs w:val="18"/>
        </w:rPr>
        <w:t>研究创造价值，深入带来远见</w:t>
      </w:r>
    </w:p>
    <w:p>
      <w:pPr>
        <w:pStyle w:val="7"/>
        <w:rPr>
          <w:rFonts w:ascii="宋体" w:hAnsi="宋体"/>
        </w:rPr>
      </w:pPr>
    </w:p>
    <w:p>
      <w:pPr>
        <w:pStyle w:val="7"/>
        <w:rPr>
          <w:rFonts w:ascii="宋体" w:hAnsi="宋体"/>
        </w:rPr>
      </w:pPr>
    </w:p>
    <w:p>
      <w:pPr>
        <w:pStyle w:val="7"/>
        <w:jc w:val="center"/>
        <w:rPr>
          <w:rFonts w:ascii="宋体" w:hAnsi="宋体"/>
          <w:b/>
          <w:bCs/>
          <w:color w:val="000080"/>
          <w:sz w:val="28"/>
          <w:szCs w:val="28"/>
        </w:rPr>
      </w:pPr>
      <w:r>
        <w:rPr>
          <w:rFonts w:hint="eastAsia" w:ascii="宋体" w:hAnsi="宋体"/>
          <w:b/>
          <w:bCs/>
          <w:color w:val="000080"/>
          <w:sz w:val="28"/>
          <w:szCs w:val="28"/>
        </w:rPr>
        <w:t>联系方式</w:t>
      </w:r>
    </w:p>
    <w:p>
      <w:pPr>
        <w:pStyle w:val="7"/>
        <w:rPr>
          <w:rFonts w:ascii="宋体" w:hAnsi="宋体"/>
          <w:sz w:val="24"/>
          <w:szCs w:val="24"/>
        </w:rPr>
      </w:pPr>
    </w:p>
    <w:p>
      <w:pPr>
        <w:pStyle w:val="7"/>
        <w:rPr>
          <w:rFonts w:ascii="宋体" w:hAnsi="宋体"/>
        </w:rPr>
      </w:pPr>
      <w:r>
        <w:rPr>
          <w:rFonts w:hint="eastAsia" w:ascii="宋体" w:hAnsi="宋体"/>
        </w:rPr>
        <w:t xml:space="preserve"> </w:t>
      </w:r>
      <w:r>
        <w:rPr>
          <w:rFonts w:ascii="宋体" w:hAnsi="宋体"/>
          <w:sz w:val="18"/>
          <w:szCs w:val="18"/>
        </w:rPr>
        <w:drawing>
          <wp:inline distT="0" distB="0" distL="114300" distR="114300">
            <wp:extent cx="810895" cy="723265"/>
            <wp:effectExtent l="0" t="0" r="8255" b="635"/>
            <wp:docPr id="6"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图片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810895" cy="723265"/>
                    </a:xfrm>
                    <a:prstGeom prst="rect">
                      <a:avLst/>
                    </a:prstGeom>
                    <a:noFill/>
                    <a:ln>
                      <a:noFill/>
                    </a:ln>
                    <a:effectLst/>
                  </pic:spPr>
                </pic:pic>
              </a:graphicData>
            </a:graphic>
          </wp:inline>
        </w:drawing>
      </w:r>
      <w:r>
        <w:rPr>
          <w:rFonts w:hint="eastAsia" w:ascii="宋体" w:hAnsi="宋体"/>
        </w:rPr>
        <w:t xml:space="preserve">         </w:t>
      </w:r>
      <w:r>
        <w:rPr>
          <w:rFonts w:ascii="宋体" w:hAnsi="宋体"/>
        </w:rPr>
        <w:drawing>
          <wp:inline distT="0" distB="0" distL="114300" distR="114300">
            <wp:extent cx="731520" cy="731520"/>
            <wp:effectExtent l="0" t="0" r="11430" b="11430"/>
            <wp:docPr id="5" name="图片 2"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图片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731520" cy="731520"/>
                    </a:xfrm>
                    <a:prstGeom prst="rect">
                      <a:avLst/>
                    </a:prstGeom>
                    <a:noFill/>
                    <a:ln>
                      <a:noFill/>
                    </a:ln>
                    <a:effectLst/>
                  </pic:spPr>
                </pic:pic>
              </a:graphicData>
            </a:graphic>
          </wp:inline>
        </w:drawing>
      </w:r>
      <w:r>
        <w:rPr>
          <w:rFonts w:hint="eastAsia" w:ascii="宋体" w:hAnsi="宋体"/>
        </w:rPr>
        <w:t xml:space="preserve">         </w:t>
      </w:r>
      <w:r>
        <w:rPr>
          <w:rFonts w:ascii="宋体" w:hAnsi="宋体"/>
        </w:rPr>
        <w:drawing>
          <wp:inline distT="0" distB="0" distL="114300" distR="114300">
            <wp:extent cx="835025" cy="771525"/>
            <wp:effectExtent l="0" t="0" r="3175" b="9525"/>
            <wp:docPr id="1" name="图片 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图片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835025" cy="771525"/>
                    </a:xfrm>
                    <a:prstGeom prst="rect">
                      <a:avLst/>
                    </a:prstGeom>
                    <a:noFill/>
                    <a:ln>
                      <a:noFill/>
                    </a:ln>
                    <a:effectLst/>
                  </pic:spPr>
                </pic:pic>
              </a:graphicData>
            </a:graphic>
          </wp:inline>
        </w:drawing>
      </w:r>
      <w:r>
        <w:rPr>
          <w:rFonts w:hint="eastAsia" w:ascii="宋体" w:hAnsi="宋体"/>
        </w:rPr>
        <w:t xml:space="preserve">         </w:t>
      </w:r>
      <w:r>
        <w:rPr>
          <w:rFonts w:ascii="宋体" w:hAnsi="宋体"/>
        </w:rPr>
        <w:drawing>
          <wp:inline distT="0" distB="0" distL="114300" distR="114300">
            <wp:extent cx="835025" cy="755650"/>
            <wp:effectExtent l="0" t="0" r="3175" b="6350"/>
            <wp:docPr id="2" name="图片 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图片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835025" cy="755650"/>
                    </a:xfrm>
                    <a:prstGeom prst="rect">
                      <a:avLst/>
                    </a:prstGeom>
                    <a:noFill/>
                    <a:ln>
                      <a:noFill/>
                    </a:ln>
                    <a:effectLst/>
                  </pic:spPr>
                </pic:pic>
              </a:graphicData>
            </a:graphic>
          </wp:inline>
        </w:drawing>
      </w:r>
    </w:p>
    <w:p>
      <w:pPr>
        <w:pStyle w:val="7"/>
        <w:rPr>
          <w:rFonts w:ascii="宋体" w:hAnsi="宋体"/>
          <w:sz w:val="18"/>
          <w:szCs w:val="18"/>
        </w:rPr>
      </w:pPr>
      <w:r>
        <w:rPr>
          <w:rFonts w:hint="eastAsia" w:ascii="宋体" w:hAnsi="宋体"/>
          <w:sz w:val="18"/>
          <w:szCs w:val="18"/>
        </w:rPr>
        <w:t xml:space="preserve">    金融研究               农产品研究                金属研究                 能源化工</w:t>
      </w:r>
    </w:p>
    <w:p>
      <w:pPr>
        <w:pStyle w:val="7"/>
        <w:spacing w:line="360" w:lineRule="auto"/>
        <w:rPr>
          <w:rFonts w:ascii="宋体" w:hAnsi="宋体"/>
          <w:b/>
          <w:bCs/>
          <w:sz w:val="18"/>
          <w:szCs w:val="18"/>
        </w:rPr>
      </w:pPr>
      <w:r>
        <w:rPr>
          <w:rFonts w:hint="eastAsia" w:ascii="宋体" w:hAnsi="宋体"/>
          <w:sz w:val="18"/>
          <w:szCs w:val="18"/>
        </w:rPr>
        <w:t xml:space="preserve">   020-22139858           020-22139813            020-22139817             020-22139824</w:t>
      </w:r>
    </w:p>
    <w:p>
      <w:pPr>
        <w:pStyle w:val="7"/>
        <w:rPr>
          <w:rFonts w:ascii="宋体" w:hAnsi="宋体"/>
          <w:b/>
          <w:bCs/>
          <w:sz w:val="18"/>
          <w:szCs w:val="18"/>
        </w:rPr>
      </w:pPr>
    </w:p>
    <w:p>
      <w:pPr>
        <w:pStyle w:val="7"/>
        <w:rPr>
          <w:rFonts w:ascii="宋体" w:hAnsi="宋体"/>
          <w:b/>
          <w:bCs/>
          <w:sz w:val="18"/>
          <w:szCs w:val="18"/>
        </w:rPr>
      </w:pPr>
      <w:r>
        <w:rPr>
          <w:rFonts w:hint="eastAsia" w:ascii="宋体" w:hAnsi="宋体"/>
          <w:bCs/>
          <w:sz w:val="18"/>
          <w:szCs w:val="18"/>
        </w:rPr>
        <w:t>地址：广东省广州市天河区珠江西路5号广州国际金融中心主塔写字楼第1007-1012房</w:t>
      </w:r>
    </w:p>
    <w:p>
      <w:pPr>
        <w:pStyle w:val="7"/>
        <w:spacing w:line="360" w:lineRule="auto"/>
        <w:jc w:val="center"/>
        <w:rPr>
          <w:rFonts w:ascii="宋体" w:hAnsi="宋体"/>
          <w:b/>
          <w:bCs/>
          <w:color w:val="800000"/>
          <w:sz w:val="18"/>
          <w:szCs w:val="18"/>
        </w:rPr>
      </w:pPr>
    </w:p>
    <w:p>
      <w:pPr>
        <w:pStyle w:val="7"/>
        <w:spacing w:line="360" w:lineRule="auto"/>
        <w:jc w:val="center"/>
        <w:rPr>
          <w:rFonts w:ascii="宋体" w:hAnsi="宋体"/>
          <w:b/>
          <w:bCs/>
          <w:color w:val="800000"/>
          <w:sz w:val="18"/>
          <w:szCs w:val="18"/>
        </w:rPr>
      </w:pPr>
      <w:r>
        <w:rPr>
          <w:rFonts w:hint="eastAsia" w:ascii="宋体" w:hAnsi="宋体"/>
          <w:b/>
          <w:bCs/>
          <w:color w:val="800000"/>
          <w:sz w:val="18"/>
          <w:szCs w:val="18"/>
        </w:rPr>
        <w:t>免责声明</w:t>
      </w:r>
    </w:p>
    <w:p>
      <w:pPr>
        <w:pStyle w:val="7"/>
        <w:spacing w:line="360" w:lineRule="auto"/>
        <w:ind w:firstLine="360" w:firstLineChars="200"/>
        <w:rPr>
          <w:rFonts w:ascii="宋体" w:hAnsi="宋体"/>
          <w:color w:val="808080"/>
          <w:sz w:val="18"/>
          <w:szCs w:val="18"/>
        </w:rPr>
      </w:pPr>
      <w:r>
        <w:rPr>
          <w:rFonts w:hint="eastAsia" w:ascii="宋体" w:hAnsi="宋体"/>
          <w:color w:val="800000"/>
          <w:sz w:val="18"/>
          <w:szCs w:val="18"/>
        </w:rPr>
        <w:t>本报告的信息均来源于公开资料，我公司对这些信息的准确性和完整性不作任何保证，也不保证所包含的信息和建议不会发生任何变更。我们已力求报告内容的客观、公正，但文中的观点、结论和建议仅供参考，报告中的信息或意见并不构成所述品种的操作依据，投资者据此做出的任何投资决策与本公司和作者无关。</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sz w:val="22"/>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新宋体">
    <w:panose1 w:val="02010609030101010101"/>
    <w:charset w:val="86"/>
    <w:family w:val="modern"/>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Gill Sans">
    <w:altName w:val="Times New Roman"/>
    <w:panose1 w:val="00000000000000000000"/>
    <w:charset w:val="00"/>
    <w:family w:val="auto"/>
    <w:pitch w:val="default"/>
    <w:sig w:usb0="00000000" w:usb1="00000000" w:usb2="00000000" w:usb3="00000000" w:csb0="00040001" w:csb1="00000000"/>
  </w:font>
  <w:font w:name="ヒラギノ角ゴ Pro W3">
    <w:altName w:val="Times New Roman"/>
    <w:panose1 w:val="00000000000000000000"/>
    <w:charset w:val="00"/>
    <w:family w:val="auto"/>
    <w:pitch w:val="default"/>
    <w:sig w:usb0="00000000" w:usb1="00000000" w:usb2="00000000"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0A470B"/>
    <w:rsid w:val="1A0A470B"/>
    <w:rsid w:val="1DF35E0D"/>
    <w:rsid w:val="4FA41493"/>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single" w:color="auto" w:sz="4" w:space="1"/>
        <w:right w:val="none" w:color="auto" w:sz="0" w:space="4"/>
      </w:pBdr>
      <w:tabs>
        <w:tab w:val="center" w:pos="4153"/>
        <w:tab w:val="right" w:pos="8306"/>
      </w:tabs>
      <w:snapToGrid w:val="0"/>
    </w:pPr>
    <w:rPr>
      <w:sz w:val="18"/>
    </w:rPr>
  </w:style>
  <w:style w:type="character" w:styleId="5">
    <w:name w:val="page number"/>
    <w:basedOn w:val="4"/>
    <w:uiPriority w:val="0"/>
  </w:style>
  <w:style w:type="paragraph" w:customStyle="1" w:styleId="7">
    <w:name w:val="p17"/>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Office_10.1.0.6028_F1E327BC-269C-435d-A152-05C5408002CA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2016-11-09T05:04:00Z</dcterms:created>
  <dc:creator>Administrator</dc:creator>
  <cp:lastModifiedBy>Administrator</cp:lastModifiedBy>
  <dcterms:modified xsi:type="dcterms:W3CDTF">2016-11-10T07:25:24Z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2052-10.1.0.6028</vt:lpwstr>
  </property>
</Properties>
</file>