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3964" w:rsidRPr="00E0427B" w:rsidRDefault="00554406" w:rsidP="00E0427B">
      <w:pPr>
        <w:rPr>
          <w:noProof/>
        </w:rPr>
      </w:pPr>
      <w:r>
        <w:rPr>
          <w:noProof/>
        </w:rPr>
        <w:drawing>
          <wp:anchor distT="0" distB="0" distL="114300" distR="114300" simplePos="0" relativeHeight="251658752" behindDoc="0" locked="0" layoutInCell="1" allowOverlap="1" wp14:anchorId="43E8080F" wp14:editId="3789F201">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p>
    <w:p w:rsidR="00FE6C92" w:rsidRPr="00AE3047" w:rsidRDefault="002C53D4" w:rsidP="002A4CF0">
      <w:pPr>
        <w:pStyle w:val="1"/>
        <w:spacing w:before="0" w:after="0" w:line="360" w:lineRule="auto"/>
        <w:jc w:val="center"/>
        <w:rPr>
          <w:rFonts w:ascii="黑体" w:eastAsia="黑体" w:hAnsi="黑体"/>
          <w:b w:val="0"/>
          <w:kern w:val="2"/>
          <w:sz w:val="28"/>
          <w:szCs w:val="28"/>
        </w:rPr>
      </w:pPr>
      <w:r w:rsidRPr="0097512E">
        <w:rPr>
          <w:rFonts w:ascii="黑体" w:eastAsia="黑体" w:hAnsi="黑体" w:hint="eastAsia"/>
          <w:b w:val="0"/>
          <w:kern w:val="2"/>
          <w:sz w:val="28"/>
          <w:szCs w:val="28"/>
        </w:rPr>
        <w:t>【</w:t>
      </w:r>
      <w:r w:rsidR="0077558F" w:rsidRPr="0097512E">
        <w:rPr>
          <w:rFonts w:eastAsia="黑体" w:hint="eastAsia"/>
          <w:b w:val="0"/>
          <w:kern w:val="2"/>
          <w:sz w:val="28"/>
          <w:szCs w:val="28"/>
        </w:rPr>
        <w:t>联储</w:t>
      </w:r>
      <w:r w:rsidR="0077558F" w:rsidRPr="0097512E">
        <w:rPr>
          <w:rFonts w:eastAsia="黑体" w:hint="eastAsia"/>
          <w:b w:val="0"/>
          <w:kern w:val="2"/>
          <w:sz w:val="28"/>
          <w:szCs w:val="28"/>
        </w:rPr>
        <w:t>7</w:t>
      </w:r>
      <w:r w:rsidR="0077558F" w:rsidRPr="0097512E">
        <w:rPr>
          <w:rFonts w:eastAsia="黑体" w:hint="eastAsia"/>
          <w:b w:val="0"/>
          <w:kern w:val="2"/>
          <w:sz w:val="28"/>
          <w:szCs w:val="28"/>
        </w:rPr>
        <w:t>月决议</w:t>
      </w:r>
      <w:r w:rsidR="007F3BA5" w:rsidRPr="0097512E">
        <w:rPr>
          <w:rFonts w:ascii="黑体" w:eastAsia="黑体" w:hAnsi="黑体" w:hint="eastAsia"/>
          <w:b w:val="0"/>
          <w:kern w:val="2"/>
          <w:sz w:val="28"/>
          <w:szCs w:val="28"/>
        </w:rPr>
        <w:t>】</w:t>
      </w:r>
      <w:r w:rsidR="006052E9" w:rsidRPr="0097512E">
        <w:rPr>
          <w:rFonts w:ascii="黑体" w:eastAsia="黑体" w:hAnsi="黑体" w:hint="eastAsia"/>
          <w:b w:val="0"/>
          <w:kern w:val="2"/>
          <w:sz w:val="28"/>
          <w:szCs w:val="28"/>
        </w:rPr>
        <w:t>美</w:t>
      </w:r>
      <w:r w:rsidR="006052E9">
        <w:rPr>
          <w:rFonts w:ascii="黑体" w:eastAsia="黑体" w:hAnsi="黑体" w:hint="eastAsia"/>
          <w:b w:val="0"/>
          <w:kern w:val="2"/>
          <w:sz w:val="28"/>
          <w:szCs w:val="28"/>
        </w:rPr>
        <w:t>联储连续5次放鸽，</w:t>
      </w:r>
      <w:r w:rsidR="00293958">
        <w:rPr>
          <w:rFonts w:ascii="黑体" w:eastAsia="黑体" w:hAnsi="黑体" w:hint="eastAsia"/>
          <w:b w:val="0"/>
          <w:kern w:val="2"/>
          <w:sz w:val="28"/>
          <w:szCs w:val="28"/>
        </w:rPr>
        <w:t>最早加息或推迟至大选后</w:t>
      </w:r>
    </w:p>
    <w:p w:rsidR="004A3613" w:rsidRPr="00AE3047" w:rsidRDefault="00F41810" w:rsidP="002A5BFC">
      <w:pPr>
        <w:adjustRightInd w:val="0"/>
        <w:spacing w:line="360" w:lineRule="auto"/>
        <w:jc w:val="center"/>
        <w:rPr>
          <w:rFonts w:ascii="黑体" w:eastAsia="黑体" w:hAnsi="微软雅黑"/>
          <w:color w:val="422100"/>
          <w:sz w:val="24"/>
          <w:szCs w:val="24"/>
        </w:rPr>
      </w:pPr>
      <w:r w:rsidRPr="00AE3047">
        <w:rPr>
          <w:rFonts w:ascii="黑体" w:eastAsia="黑体" w:hAnsi="微软雅黑" w:hint="eastAsia"/>
          <w:color w:val="000000" w:themeColor="text1"/>
          <w:sz w:val="24"/>
          <w:szCs w:val="24"/>
        </w:rPr>
        <w:t>201</w:t>
      </w:r>
      <w:r w:rsidR="00B36387" w:rsidRPr="00AE3047">
        <w:rPr>
          <w:rFonts w:ascii="黑体" w:eastAsia="黑体" w:hAnsi="微软雅黑" w:hint="eastAsia"/>
          <w:color w:val="000000" w:themeColor="text1"/>
          <w:sz w:val="24"/>
          <w:szCs w:val="24"/>
        </w:rPr>
        <w:t>6</w:t>
      </w:r>
      <w:r w:rsidRPr="00AE3047">
        <w:rPr>
          <w:rFonts w:ascii="黑体" w:eastAsia="黑体" w:hAnsi="微软雅黑" w:hint="eastAsia"/>
          <w:color w:val="000000" w:themeColor="text1"/>
          <w:sz w:val="24"/>
          <w:szCs w:val="24"/>
        </w:rPr>
        <w:t>年</w:t>
      </w:r>
      <w:r w:rsidR="0077587F">
        <w:rPr>
          <w:rFonts w:ascii="黑体" w:eastAsia="黑体" w:hAnsi="微软雅黑" w:hint="eastAsia"/>
          <w:color w:val="000000" w:themeColor="text1"/>
          <w:sz w:val="24"/>
          <w:szCs w:val="24"/>
        </w:rPr>
        <w:t>7</w:t>
      </w:r>
      <w:r w:rsidRPr="00AE3047">
        <w:rPr>
          <w:rFonts w:ascii="黑体" w:eastAsia="黑体" w:hAnsi="微软雅黑" w:hint="eastAsia"/>
          <w:color w:val="000000" w:themeColor="text1"/>
          <w:sz w:val="24"/>
          <w:szCs w:val="24"/>
        </w:rPr>
        <w:t>月</w:t>
      </w:r>
      <w:r w:rsidR="00660983">
        <w:rPr>
          <w:rFonts w:ascii="黑体" w:eastAsia="黑体" w:hAnsi="微软雅黑" w:hint="eastAsia"/>
          <w:color w:val="000000" w:themeColor="text1"/>
          <w:sz w:val="24"/>
          <w:szCs w:val="24"/>
        </w:rPr>
        <w:t>28</w:t>
      </w:r>
      <w:r w:rsidRPr="00AE3047">
        <w:rPr>
          <w:rFonts w:ascii="黑体" w:eastAsia="黑体" w:hAnsi="微软雅黑" w:hint="eastAsia"/>
          <w:color w:val="000000" w:themeColor="text1"/>
          <w:sz w:val="24"/>
          <w:szCs w:val="24"/>
        </w:rPr>
        <w:t>日</w:t>
      </w:r>
    </w:p>
    <w:p w:rsidR="0077587F" w:rsidRPr="00E950EC" w:rsidRDefault="00E06F66" w:rsidP="0077587F">
      <w:pPr>
        <w:adjustRightInd w:val="0"/>
        <w:snapToGrid w:val="0"/>
        <w:spacing w:beforeLines="50" w:before="156" w:line="360" w:lineRule="auto"/>
        <w:jc w:val="center"/>
        <w:rPr>
          <w:rFonts w:ascii="黑体" w:eastAsia="黑体" w:hAnsi="黑体"/>
          <w:szCs w:val="21"/>
        </w:rPr>
      </w:pPr>
      <w:r w:rsidRPr="00E950EC">
        <w:rPr>
          <w:rFonts w:ascii="黑体" w:eastAsia="黑体" w:hAnsi="黑体" w:hint="eastAsia"/>
          <w:szCs w:val="21"/>
        </w:rPr>
        <w:t>广州期货</w:t>
      </w:r>
      <w:r w:rsidRPr="00E950EC">
        <w:rPr>
          <w:rFonts w:ascii="黑体" w:eastAsia="黑体" w:hAnsi="黑体"/>
          <w:szCs w:val="21"/>
        </w:rPr>
        <w:t>研究所</w:t>
      </w:r>
      <w:r w:rsidR="001A220C" w:rsidRPr="00E950EC">
        <w:rPr>
          <w:rFonts w:ascii="黑体" w:eastAsia="黑体" w:hAnsi="黑体" w:hint="eastAsia"/>
          <w:szCs w:val="21"/>
        </w:rPr>
        <w:t xml:space="preserve"> </w:t>
      </w:r>
      <w:r w:rsidR="00D168B5">
        <w:rPr>
          <w:rFonts w:ascii="黑体" w:eastAsia="黑体" w:hAnsi="黑体" w:hint="eastAsia"/>
          <w:szCs w:val="21"/>
        </w:rPr>
        <w:t>王志武</w:t>
      </w:r>
    </w:p>
    <w:p w:rsidR="005A6C45" w:rsidRDefault="002A4CF0" w:rsidP="00767DF0">
      <w:pPr>
        <w:pStyle w:val="p17"/>
        <w:rPr>
          <w:rFonts w:ascii="楷体" w:eastAsia="楷体" w:hAnsi="楷体"/>
          <w:b/>
          <w:bCs/>
          <w:color w:val="000000" w:themeColor="text1"/>
        </w:rPr>
      </w:pPr>
      <w:r w:rsidRPr="002A4CF0">
        <w:rPr>
          <w:rFonts w:ascii="楷体" w:eastAsia="楷体" w:hAnsi="楷体" w:hint="eastAsia"/>
          <w:b/>
          <w:bCs/>
          <w:color w:val="000000" w:themeColor="text1"/>
        </w:rPr>
        <w:t>事件回顾：</w:t>
      </w:r>
      <w:r w:rsidR="00767DF0">
        <w:rPr>
          <w:rFonts w:ascii="楷体" w:eastAsia="楷体" w:hAnsi="楷体" w:hint="eastAsia"/>
          <w:b/>
          <w:bCs/>
          <w:color w:val="000000" w:themeColor="text1"/>
        </w:rPr>
        <w:t>美联储7月会议维持0.25%-0.50%基准利率不变，这是美联储第五次按兵不动，会后</w:t>
      </w:r>
      <w:proofErr w:type="gramStart"/>
      <w:r w:rsidR="00767DF0">
        <w:rPr>
          <w:rFonts w:ascii="楷体" w:eastAsia="楷体" w:hAnsi="楷体" w:hint="eastAsia"/>
          <w:b/>
          <w:bCs/>
          <w:color w:val="000000" w:themeColor="text1"/>
        </w:rPr>
        <w:t>无耶伦</w:t>
      </w:r>
      <w:proofErr w:type="gramEnd"/>
      <w:r w:rsidR="00767DF0">
        <w:rPr>
          <w:rFonts w:ascii="楷体" w:eastAsia="楷体" w:hAnsi="楷体" w:hint="eastAsia"/>
          <w:b/>
          <w:bCs/>
          <w:color w:val="000000" w:themeColor="text1"/>
        </w:rPr>
        <w:t>新闻发布会，总体延续鸽派，</w:t>
      </w:r>
      <w:r w:rsidR="00423160">
        <w:rPr>
          <w:rFonts w:ascii="楷体" w:eastAsia="楷体" w:hAnsi="楷体" w:hint="eastAsia"/>
          <w:b/>
          <w:bCs/>
          <w:color w:val="000000" w:themeColor="text1"/>
        </w:rPr>
        <w:t>从美联储联邦基金利率期货</w:t>
      </w:r>
      <w:proofErr w:type="gramStart"/>
      <w:r w:rsidR="00423160">
        <w:rPr>
          <w:rFonts w:ascii="楷体" w:eastAsia="楷体" w:hAnsi="楷体" w:hint="eastAsia"/>
          <w:b/>
          <w:bCs/>
          <w:color w:val="000000" w:themeColor="text1"/>
        </w:rPr>
        <w:t>监测看</w:t>
      </w:r>
      <w:proofErr w:type="gramEnd"/>
      <w:r w:rsidR="00E07C12">
        <w:rPr>
          <w:rFonts w:ascii="楷体" w:eastAsia="楷体" w:hAnsi="楷体" w:hint="eastAsia"/>
          <w:b/>
          <w:bCs/>
          <w:color w:val="000000" w:themeColor="text1"/>
        </w:rPr>
        <w:t>9月、11月、12月</w:t>
      </w:r>
      <w:r w:rsidR="00423160">
        <w:rPr>
          <w:rFonts w:ascii="楷体" w:eastAsia="楷体" w:hAnsi="楷体" w:hint="eastAsia"/>
          <w:b/>
          <w:bCs/>
          <w:color w:val="000000" w:themeColor="text1"/>
        </w:rPr>
        <w:t>加息概率分别小幅回落</w:t>
      </w:r>
      <w:r w:rsidR="005077D2">
        <w:rPr>
          <w:rFonts w:ascii="楷体" w:eastAsia="楷体" w:hAnsi="楷体" w:hint="eastAsia"/>
          <w:b/>
          <w:bCs/>
          <w:color w:val="000000" w:themeColor="text1"/>
        </w:rPr>
        <w:t>1.5、1.5、6个百分点</w:t>
      </w:r>
      <w:r w:rsidR="00767DF0">
        <w:rPr>
          <w:rFonts w:ascii="楷体" w:eastAsia="楷体" w:hAnsi="楷体" w:hint="eastAsia"/>
          <w:b/>
          <w:bCs/>
          <w:color w:val="000000" w:themeColor="text1"/>
        </w:rPr>
        <w:t>至</w:t>
      </w:r>
      <w:r w:rsidR="005077D2">
        <w:rPr>
          <w:rFonts w:ascii="楷体" w:eastAsia="楷体" w:hAnsi="楷体" w:hint="eastAsia"/>
          <w:b/>
          <w:bCs/>
          <w:color w:val="000000" w:themeColor="text1"/>
        </w:rPr>
        <w:t>18%、19.3%、36.8%</w:t>
      </w:r>
      <w:r w:rsidR="00E07C12">
        <w:rPr>
          <w:rFonts w:ascii="楷体" w:eastAsia="楷体" w:hAnsi="楷体" w:hint="eastAsia"/>
          <w:b/>
          <w:bCs/>
          <w:color w:val="000000" w:themeColor="text1"/>
        </w:rPr>
        <w:t>。</w:t>
      </w:r>
    </w:p>
    <w:p w:rsidR="00767DF0" w:rsidRDefault="00767DF0" w:rsidP="00767DF0">
      <w:pPr>
        <w:pStyle w:val="p17"/>
        <w:rPr>
          <w:rFonts w:ascii="楷体" w:eastAsia="楷体" w:hAnsi="楷体"/>
          <w:b/>
          <w:bCs/>
          <w:color w:val="000000" w:themeColor="text1"/>
        </w:rPr>
      </w:pPr>
    </w:p>
    <w:p w:rsidR="007E230E" w:rsidRPr="00FC0ED3" w:rsidRDefault="007E230E" w:rsidP="00767DF0">
      <w:pPr>
        <w:pStyle w:val="p17"/>
        <w:rPr>
          <w:rFonts w:ascii="楷体" w:eastAsia="楷体" w:hAnsi="楷体"/>
          <w:b/>
          <w:bCs/>
          <w:color w:val="000000" w:themeColor="text1"/>
        </w:rPr>
      </w:pPr>
      <w:r w:rsidRPr="00FC0ED3">
        <w:rPr>
          <w:rFonts w:ascii="楷体" w:eastAsia="楷体" w:hAnsi="楷体" w:hint="eastAsia"/>
          <w:b/>
          <w:bCs/>
          <w:color w:val="000000" w:themeColor="text1"/>
        </w:rPr>
        <w:t>核心观点</w:t>
      </w:r>
    </w:p>
    <w:p w:rsidR="00767DF0" w:rsidRPr="00FA0D07" w:rsidRDefault="00FA0D07" w:rsidP="00767DF0">
      <w:pPr>
        <w:pStyle w:val="p17"/>
        <w:rPr>
          <w:rFonts w:ascii="楷体" w:eastAsia="楷体" w:hAnsi="楷体"/>
          <w:bCs/>
          <w:color w:val="000000" w:themeColor="text1"/>
        </w:rPr>
      </w:pPr>
      <w:r w:rsidRPr="00FA0D07">
        <w:rPr>
          <w:rFonts w:ascii="楷体" w:eastAsia="楷体" w:hAnsi="楷体" w:hint="eastAsia"/>
          <w:bCs/>
          <w:color w:val="000000" w:themeColor="text1"/>
        </w:rPr>
        <w:t>在全球经济持续低迷的背景之下，欧央行、日本央行等逾55个国家或经济体采取了降息举措，日本、欧央行、瑞士、瑞典、丹麦采取负利率政策，在英国脱</w:t>
      </w:r>
      <w:proofErr w:type="gramStart"/>
      <w:r w:rsidRPr="00FA0D07">
        <w:rPr>
          <w:rFonts w:ascii="楷体" w:eastAsia="楷体" w:hAnsi="楷体" w:hint="eastAsia"/>
          <w:bCs/>
          <w:color w:val="000000" w:themeColor="text1"/>
        </w:rPr>
        <w:t>欧之后</w:t>
      </w:r>
      <w:proofErr w:type="gramEnd"/>
      <w:r w:rsidRPr="00FA0D07">
        <w:rPr>
          <w:rFonts w:ascii="楷体" w:eastAsia="楷体" w:hAnsi="楷体" w:hint="eastAsia"/>
          <w:bCs/>
          <w:color w:val="000000" w:themeColor="text1"/>
        </w:rPr>
        <w:t>的政治乃至经济影响的不确定性因素累积，致使美联储不会轻易采取加息，再考虑11月的国内大选，核心PCE仍低于2%的目标位，我们</w:t>
      </w:r>
      <w:proofErr w:type="gramStart"/>
      <w:r w:rsidRPr="00FA0D07">
        <w:rPr>
          <w:rFonts w:ascii="楷体" w:eastAsia="楷体" w:hAnsi="楷体" w:hint="eastAsia"/>
          <w:bCs/>
          <w:color w:val="000000" w:themeColor="text1"/>
        </w:rPr>
        <w:t>推测美</w:t>
      </w:r>
      <w:proofErr w:type="gramEnd"/>
      <w:r w:rsidRPr="00FA0D07">
        <w:rPr>
          <w:rFonts w:ascii="楷体" w:eastAsia="楷体" w:hAnsi="楷体" w:hint="eastAsia"/>
          <w:bCs/>
          <w:color w:val="000000" w:themeColor="text1"/>
        </w:rPr>
        <w:t>联储加息决定将推迟至12月份甚至2017年，</w:t>
      </w:r>
    </w:p>
    <w:p w:rsidR="00423160" w:rsidRPr="00FA0D07" w:rsidRDefault="00423160" w:rsidP="00423160">
      <w:pPr>
        <w:pStyle w:val="p17"/>
        <w:rPr>
          <w:rFonts w:ascii="楷体" w:eastAsia="楷体" w:hAnsi="楷体"/>
          <w:bCs/>
          <w:color w:val="000000" w:themeColor="text1"/>
        </w:rPr>
      </w:pPr>
    </w:p>
    <w:p w:rsidR="0026528B" w:rsidRPr="00FC0ED3" w:rsidRDefault="00B03177" w:rsidP="00423160">
      <w:pPr>
        <w:pStyle w:val="p17"/>
        <w:rPr>
          <w:rFonts w:ascii="楷体" w:eastAsia="楷体" w:hAnsi="楷体"/>
          <w:b/>
          <w:bCs/>
          <w:color w:val="000000" w:themeColor="text1"/>
        </w:rPr>
      </w:pPr>
      <w:r w:rsidRPr="00FC0ED3">
        <w:rPr>
          <w:rFonts w:ascii="楷体" w:eastAsia="楷体" w:hAnsi="楷体" w:hint="eastAsia"/>
          <w:b/>
          <w:bCs/>
          <w:color w:val="000000" w:themeColor="text1"/>
        </w:rPr>
        <w:t>核心内容</w:t>
      </w:r>
    </w:p>
    <w:p w:rsidR="00783F04" w:rsidRDefault="00B03177" w:rsidP="00423160">
      <w:pPr>
        <w:pStyle w:val="p17"/>
        <w:rPr>
          <w:rFonts w:ascii="楷体" w:eastAsia="楷体" w:hAnsi="楷体"/>
          <w:bCs/>
          <w:color w:val="000000" w:themeColor="text1"/>
        </w:rPr>
      </w:pPr>
      <w:r w:rsidRPr="00DF5A20">
        <w:rPr>
          <w:rFonts w:ascii="楷体" w:eastAsia="楷体" w:hAnsi="楷体" w:hint="eastAsia"/>
          <w:b/>
          <w:bCs/>
          <w:color w:val="000000" w:themeColor="text1"/>
        </w:rPr>
        <w:t>1）</w:t>
      </w:r>
      <w:r w:rsidR="00657CC4">
        <w:rPr>
          <w:rFonts w:ascii="楷体" w:eastAsia="楷体" w:hAnsi="楷体" w:hint="eastAsia"/>
          <w:bCs/>
          <w:color w:val="000000" w:themeColor="text1"/>
        </w:rPr>
        <w:t>从10名参与投票结果看，只有一位委员赞成加息25个BP，相对鹰派的堪萨斯联储主席Esther George转变6月维持利率不变的观点，在7月利率决议中支持加息举措</w:t>
      </w:r>
      <w:r w:rsidR="00783F04" w:rsidRPr="00FA0D07">
        <w:rPr>
          <w:rFonts w:ascii="楷体" w:eastAsia="楷体" w:hAnsi="楷体" w:hint="eastAsia"/>
          <w:bCs/>
          <w:color w:val="000000" w:themeColor="text1"/>
        </w:rPr>
        <w:t>。</w:t>
      </w:r>
      <w:r w:rsidR="00215458">
        <w:rPr>
          <w:rFonts w:ascii="楷体" w:eastAsia="楷体" w:hAnsi="楷体" w:hint="eastAsia"/>
          <w:bCs/>
          <w:color w:val="000000" w:themeColor="text1"/>
        </w:rPr>
        <w:t>尽管美联储点阵图仍显示今年加息两次，不过考虑多种因素之后，我们总体认为在12月或明年开始加息将是相对合适时点。</w:t>
      </w:r>
    </w:p>
    <w:p w:rsidR="00056C5C" w:rsidRDefault="00056C5C" w:rsidP="00423160">
      <w:pPr>
        <w:pStyle w:val="p17"/>
        <w:rPr>
          <w:rFonts w:ascii="楷体" w:eastAsia="楷体" w:hAnsi="楷体"/>
          <w:bCs/>
          <w:color w:val="000000" w:themeColor="text1"/>
        </w:rPr>
      </w:pPr>
    </w:p>
    <w:p w:rsidR="00056C5C" w:rsidRDefault="00056C5C" w:rsidP="00423160">
      <w:pPr>
        <w:pStyle w:val="p17"/>
        <w:rPr>
          <w:rFonts w:ascii="楷体" w:eastAsia="楷体" w:hAnsi="楷体"/>
          <w:bCs/>
          <w:color w:val="000000" w:themeColor="text1"/>
        </w:rPr>
      </w:pPr>
      <w:r w:rsidRPr="00B65421">
        <w:rPr>
          <w:rFonts w:ascii="楷体" w:eastAsia="楷体" w:hAnsi="楷体" w:hint="eastAsia"/>
          <w:b/>
          <w:bCs/>
          <w:color w:val="000000" w:themeColor="text1"/>
        </w:rPr>
        <w:t>2）</w:t>
      </w:r>
      <w:r w:rsidR="008F3313" w:rsidRPr="00B65421">
        <w:rPr>
          <w:rFonts w:ascii="楷体" w:eastAsia="楷体" w:hAnsi="楷体" w:hint="eastAsia"/>
          <w:b/>
          <w:bCs/>
          <w:color w:val="000000" w:themeColor="text1"/>
        </w:rPr>
        <w:t>通胀与政治仍是掣肘美联储加息的主要因素。</w:t>
      </w:r>
      <w:r w:rsidR="000F0BC2">
        <w:rPr>
          <w:rFonts w:ascii="楷体" w:eastAsia="楷体" w:hAnsi="楷体" w:hint="eastAsia"/>
          <w:bCs/>
          <w:color w:val="000000" w:themeColor="text1"/>
        </w:rPr>
        <w:t>从美</w:t>
      </w:r>
      <w:bookmarkStart w:id="0" w:name="_GoBack"/>
      <w:bookmarkEnd w:id="0"/>
      <w:r w:rsidR="000F0BC2">
        <w:rPr>
          <w:rFonts w:ascii="楷体" w:eastAsia="楷体" w:hAnsi="楷体" w:hint="eastAsia"/>
          <w:bCs/>
          <w:color w:val="000000" w:themeColor="text1"/>
        </w:rPr>
        <w:t>国4、5月核心PCE（个人消费支出）同比增长分别为1.58%、1.62%，离2%目标位还存在一定距离，依靠消费促进经济增长的过度，消费是否增长</w:t>
      </w:r>
      <w:proofErr w:type="gramStart"/>
      <w:r w:rsidR="000F0BC2">
        <w:rPr>
          <w:rFonts w:ascii="楷体" w:eastAsia="楷体" w:hAnsi="楷体" w:hint="eastAsia"/>
          <w:bCs/>
          <w:color w:val="000000" w:themeColor="text1"/>
        </w:rPr>
        <w:t>强劲将</w:t>
      </w:r>
      <w:proofErr w:type="gramEnd"/>
      <w:r w:rsidR="000F0BC2">
        <w:rPr>
          <w:rFonts w:ascii="楷体" w:eastAsia="楷体" w:hAnsi="楷体" w:hint="eastAsia"/>
          <w:bCs/>
          <w:color w:val="000000" w:themeColor="text1"/>
        </w:rPr>
        <w:t>直接关系到美联储的加息进度，从核心CPI来看，已连续8个月处于2%以上的同比增长，通胀的回升或致使美联储不得不进一步权衡加息的必要性，不过5月非农数据的异常下滑，及6月居民小时工资的增速疲弱，叠加国内11月大选与英国脱</w:t>
      </w:r>
      <w:proofErr w:type="gramStart"/>
      <w:r w:rsidR="000F0BC2">
        <w:rPr>
          <w:rFonts w:ascii="楷体" w:eastAsia="楷体" w:hAnsi="楷体" w:hint="eastAsia"/>
          <w:bCs/>
          <w:color w:val="000000" w:themeColor="text1"/>
        </w:rPr>
        <w:t>欧之后</w:t>
      </w:r>
      <w:proofErr w:type="gramEnd"/>
      <w:r w:rsidR="000F0BC2">
        <w:rPr>
          <w:rFonts w:ascii="楷体" w:eastAsia="楷体" w:hAnsi="楷体" w:hint="eastAsia"/>
          <w:bCs/>
          <w:color w:val="000000" w:themeColor="text1"/>
        </w:rPr>
        <w:t>的后续影响，皆成为美联储权衡加息进度的主要因素与掣肘。</w:t>
      </w:r>
    </w:p>
    <w:p w:rsidR="00E264B9" w:rsidRPr="000F0BC2" w:rsidRDefault="00E264B9" w:rsidP="00423160">
      <w:pPr>
        <w:pStyle w:val="p17"/>
        <w:rPr>
          <w:rFonts w:ascii="楷体" w:eastAsia="楷体" w:hAnsi="楷体"/>
          <w:bCs/>
          <w:color w:val="000000" w:themeColor="text1"/>
        </w:rPr>
      </w:pPr>
    </w:p>
    <w:p w:rsidR="00C529B7" w:rsidRDefault="00E264B9" w:rsidP="00423160">
      <w:pPr>
        <w:pStyle w:val="p17"/>
        <w:rPr>
          <w:rFonts w:ascii="楷体" w:eastAsia="楷体" w:hAnsi="楷体"/>
          <w:bCs/>
          <w:color w:val="000000" w:themeColor="text1"/>
        </w:rPr>
      </w:pPr>
      <w:r w:rsidRPr="00B65421">
        <w:rPr>
          <w:rFonts w:ascii="楷体" w:eastAsia="楷体" w:hAnsi="楷体" w:hint="eastAsia"/>
          <w:b/>
          <w:bCs/>
          <w:color w:val="000000" w:themeColor="text1"/>
        </w:rPr>
        <w:t>3）</w:t>
      </w:r>
      <w:r w:rsidR="00B65421" w:rsidRPr="00B65421">
        <w:rPr>
          <w:rFonts w:ascii="楷体" w:eastAsia="楷体" w:hAnsi="楷体" w:hint="eastAsia"/>
          <w:b/>
          <w:bCs/>
          <w:color w:val="000000" w:themeColor="text1"/>
        </w:rPr>
        <w:t>黄金上升美元指数回软。</w:t>
      </w:r>
      <w:r w:rsidR="00CF265F">
        <w:rPr>
          <w:rFonts w:ascii="楷体" w:eastAsia="楷体" w:hAnsi="楷体" w:hint="eastAsia"/>
          <w:bCs/>
          <w:color w:val="000000" w:themeColor="text1"/>
        </w:rPr>
        <w:t>美联储利率决议公布后，黄金暴涨逾1%，美元指数从97大幅回落至96平台，大宗商品表现参差不齐，原油因美国EIA公布原油库存意外大幅增加，</w:t>
      </w:r>
      <w:r w:rsidR="00CF265F" w:rsidRPr="00CF265F">
        <w:rPr>
          <w:rFonts w:ascii="楷体" w:eastAsia="楷体" w:hAnsi="楷体" w:hint="eastAsia"/>
          <w:bCs/>
          <w:color w:val="000000" w:themeColor="text1"/>
        </w:rPr>
        <w:t>截至7月22日当周，美国原油库存增加近170万桶，至5.2113亿桶</w:t>
      </w:r>
      <w:r w:rsidR="00CF265F">
        <w:rPr>
          <w:rFonts w:ascii="楷体" w:eastAsia="楷体" w:hAnsi="楷体" w:hint="eastAsia"/>
          <w:bCs/>
          <w:color w:val="000000" w:themeColor="text1"/>
        </w:rPr>
        <w:t>，远超市场预期减少</w:t>
      </w:r>
      <w:r w:rsidR="00CF265F" w:rsidRPr="00CF265F">
        <w:rPr>
          <w:rFonts w:ascii="楷体" w:eastAsia="楷体" w:hAnsi="楷体" w:hint="eastAsia"/>
          <w:bCs/>
          <w:color w:val="000000" w:themeColor="text1"/>
        </w:rPr>
        <w:t>160万桶</w:t>
      </w:r>
      <w:r w:rsidR="00CF265F">
        <w:rPr>
          <w:rFonts w:ascii="楷体" w:eastAsia="楷体" w:hAnsi="楷体" w:hint="eastAsia"/>
          <w:bCs/>
          <w:color w:val="000000" w:themeColor="text1"/>
        </w:rPr>
        <w:t>，在供给增加与全球需求不济的双重打压之下，原油大幅下跌，或直接考验40美金整数关口支撑。</w:t>
      </w:r>
      <w:r w:rsidR="00017FDE">
        <w:rPr>
          <w:rFonts w:ascii="楷体" w:eastAsia="楷体" w:hAnsi="楷体" w:hint="eastAsia"/>
          <w:bCs/>
          <w:color w:val="000000" w:themeColor="text1"/>
        </w:rPr>
        <w:t>我们总体认为，黄金的金融属性避险将持续成为投资者的配置首选，</w:t>
      </w:r>
      <w:r w:rsidR="008E6324">
        <w:rPr>
          <w:rFonts w:ascii="楷体" w:eastAsia="楷体" w:hAnsi="楷体" w:hint="eastAsia"/>
          <w:bCs/>
          <w:color w:val="000000" w:themeColor="text1"/>
        </w:rPr>
        <w:t>目前市场风险偏好情绪回温，黄金出现回调，不过下半年的意大利公投、英国脱欧的经济影响，在全球经济疲弱的大背景之下，依旧值得逢低配置，</w:t>
      </w:r>
      <w:r w:rsidR="00637098">
        <w:rPr>
          <w:rFonts w:ascii="楷体" w:eastAsia="楷体" w:hAnsi="楷体" w:hint="eastAsia"/>
          <w:bCs/>
          <w:color w:val="000000" w:themeColor="text1"/>
        </w:rPr>
        <w:t>对于债券，优选AAA债及长久期债券，暂时离开信用债。</w:t>
      </w:r>
    </w:p>
    <w:p w:rsidR="008E6324" w:rsidRPr="008E6324" w:rsidRDefault="008E6324" w:rsidP="00423160">
      <w:pPr>
        <w:pStyle w:val="p17"/>
        <w:rPr>
          <w:rFonts w:ascii="楷体" w:eastAsia="楷体" w:hAnsi="楷体"/>
          <w:bCs/>
          <w:color w:val="000000" w:themeColor="text1"/>
        </w:rPr>
      </w:pPr>
    </w:p>
    <w:p w:rsidR="00194C1C" w:rsidRDefault="00E8091E" w:rsidP="000A67DD">
      <w:pPr>
        <w:pStyle w:val="p17"/>
        <w:rPr>
          <w:bCs/>
          <w:color w:val="000000" w:themeColor="text1"/>
        </w:rPr>
      </w:pPr>
      <w:r w:rsidRPr="00B65421">
        <w:rPr>
          <w:rFonts w:ascii="楷体" w:eastAsia="楷体" w:hAnsi="楷体" w:hint="eastAsia"/>
          <w:b/>
          <w:bCs/>
          <w:color w:val="000000" w:themeColor="text1"/>
        </w:rPr>
        <w:t>4）美联储加息放缓利于人民币企稳。</w:t>
      </w:r>
      <w:r w:rsidR="00CC0BC9">
        <w:rPr>
          <w:rFonts w:ascii="楷体" w:eastAsia="楷体" w:hAnsi="楷体" w:hint="eastAsia"/>
          <w:bCs/>
          <w:color w:val="000000" w:themeColor="text1"/>
        </w:rPr>
        <w:t>在英国脱欧之后，市场恐慌情绪蔓延，避免情绪异常高涨，日元、美元、黄金等避险资产获得投资者</w:t>
      </w:r>
      <w:proofErr w:type="gramStart"/>
      <w:r w:rsidR="00CC0BC9">
        <w:rPr>
          <w:rFonts w:ascii="楷体" w:eastAsia="楷体" w:hAnsi="楷体" w:hint="eastAsia"/>
          <w:bCs/>
          <w:color w:val="000000" w:themeColor="text1"/>
        </w:rPr>
        <w:t>亲睐</w:t>
      </w:r>
      <w:proofErr w:type="gramEnd"/>
      <w:r w:rsidR="00CC0BC9">
        <w:rPr>
          <w:rFonts w:ascii="楷体" w:eastAsia="楷体" w:hAnsi="楷体" w:hint="eastAsia"/>
          <w:bCs/>
          <w:color w:val="000000" w:themeColor="text1"/>
        </w:rPr>
        <w:t>，人民币贬值压力明显增强，在美元兑人民币突破6.70整数位置时，市场针对人民币的贬值预期重新抬升，不过考虑央行的资本管控，与此次人民币汇率贬值的环境背景不同，恶意做空人民币的投机资金亦大幅减少，在全球长期国债收益率跌入负利率的背景之下，全球对中国国债的潜在需求明显回升，从信心与需求两个层面支撑了人民币汇率的双向波动与兑一篮子货币的相对稳定。</w:t>
      </w:r>
      <w:r w:rsidR="000A67DD">
        <w:rPr>
          <w:rFonts w:ascii="楷体" w:eastAsia="楷体" w:hAnsi="楷体" w:hint="eastAsia"/>
          <w:bCs/>
          <w:color w:val="000000" w:themeColor="text1"/>
        </w:rPr>
        <w:t>人民币汇率的相对稳定，将利于金融市场的稳健运行，及增强中长期资本对国内投资的信心。</w:t>
      </w:r>
    </w:p>
    <w:p w:rsidR="004C5760" w:rsidRDefault="004C5760" w:rsidP="00EB60D3">
      <w:pPr>
        <w:pStyle w:val="p17"/>
        <w:spacing w:line="360" w:lineRule="auto"/>
        <w:rPr>
          <w:bCs/>
          <w:color w:val="000000" w:themeColor="text1"/>
        </w:rPr>
      </w:pPr>
    </w:p>
    <w:p w:rsidR="00FC5912" w:rsidRDefault="00FC5912" w:rsidP="00EB60D3">
      <w:pPr>
        <w:pStyle w:val="p17"/>
        <w:spacing w:line="360" w:lineRule="auto"/>
        <w:rPr>
          <w:bCs/>
          <w:color w:val="000000" w:themeColor="text1"/>
        </w:rPr>
      </w:pPr>
    </w:p>
    <w:tbl>
      <w:tblPr>
        <w:tblStyle w:val="ab"/>
        <w:tblW w:w="0" w:type="auto"/>
        <w:tblLayout w:type="fixed"/>
        <w:tblLook w:val="04A0" w:firstRow="1" w:lastRow="0" w:firstColumn="1" w:lastColumn="0" w:noHBand="0" w:noVBand="1"/>
      </w:tblPr>
      <w:tblGrid>
        <w:gridCol w:w="4264"/>
        <w:gridCol w:w="4264"/>
      </w:tblGrid>
      <w:tr w:rsidR="00BF5C83" w:rsidTr="003E544E">
        <w:tc>
          <w:tcPr>
            <w:tcW w:w="4264" w:type="dxa"/>
            <w:shd w:val="clear" w:color="auto" w:fill="E36C0A" w:themeFill="accent6" w:themeFillShade="BF"/>
          </w:tcPr>
          <w:p w:rsidR="00BF5C83" w:rsidRPr="003E544E" w:rsidRDefault="006E2888" w:rsidP="00EB60D3">
            <w:pPr>
              <w:pStyle w:val="p17"/>
              <w:spacing w:line="360" w:lineRule="auto"/>
              <w:rPr>
                <w:b/>
                <w:bCs/>
                <w:color w:val="000000" w:themeColor="text1"/>
              </w:rPr>
            </w:pPr>
            <w:r w:rsidRPr="003E544E">
              <w:rPr>
                <w:rFonts w:hint="eastAsia"/>
                <w:b/>
                <w:bCs/>
                <w:color w:val="000000" w:themeColor="text1"/>
              </w:rPr>
              <w:t>2016</w:t>
            </w:r>
            <w:r w:rsidRPr="003E544E">
              <w:rPr>
                <w:rFonts w:hint="eastAsia"/>
                <w:b/>
                <w:bCs/>
                <w:color w:val="000000" w:themeColor="text1"/>
              </w:rPr>
              <w:t>年</w:t>
            </w:r>
            <w:r>
              <w:rPr>
                <w:rFonts w:hint="eastAsia"/>
                <w:b/>
                <w:bCs/>
                <w:color w:val="000000" w:themeColor="text1"/>
              </w:rPr>
              <w:t>7</w:t>
            </w:r>
            <w:r w:rsidRPr="003E544E">
              <w:rPr>
                <w:rFonts w:hint="eastAsia"/>
                <w:b/>
                <w:bCs/>
                <w:color w:val="000000" w:themeColor="text1"/>
              </w:rPr>
              <w:t>月会议纪要公布</w:t>
            </w:r>
            <w:proofErr w:type="gramStart"/>
            <w:r w:rsidRPr="003E544E">
              <w:rPr>
                <w:rFonts w:hint="eastAsia"/>
                <w:b/>
                <w:bCs/>
                <w:color w:val="000000" w:themeColor="text1"/>
              </w:rPr>
              <w:t>后</w:t>
            </w:r>
            <w:r>
              <w:rPr>
                <w:rFonts w:hint="eastAsia"/>
                <w:b/>
                <w:bCs/>
                <w:color w:val="000000" w:themeColor="text1"/>
              </w:rPr>
              <w:t>9</w:t>
            </w:r>
            <w:r w:rsidRPr="003E544E">
              <w:rPr>
                <w:rFonts w:hint="eastAsia"/>
                <w:b/>
                <w:bCs/>
                <w:color w:val="000000" w:themeColor="text1"/>
              </w:rPr>
              <w:t>月</w:t>
            </w:r>
            <w:proofErr w:type="gramEnd"/>
            <w:r w:rsidRPr="003E544E">
              <w:rPr>
                <w:rFonts w:hint="eastAsia"/>
                <w:b/>
                <w:bCs/>
                <w:color w:val="000000" w:themeColor="text1"/>
              </w:rPr>
              <w:t>加息概率</w:t>
            </w:r>
          </w:p>
        </w:tc>
        <w:tc>
          <w:tcPr>
            <w:tcW w:w="4264" w:type="dxa"/>
            <w:shd w:val="clear" w:color="auto" w:fill="E36C0A" w:themeFill="accent6" w:themeFillShade="BF"/>
          </w:tcPr>
          <w:p w:rsidR="00BF5C83" w:rsidRPr="003E544E" w:rsidRDefault="006E2888" w:rsidP="00EB60D3">
            <w:pPr>
              <w:pStyle w:val="p17"/>
              <w:spacing w:line="360" w:lineRule="auto"/>
              <w:rPr>
                <w:b/>
                <w:bCs/>
                <w:color w:val="000000" w:themeColor="text1"/>
              </w:rPr>
            </w:pPr>
            <w:r w:rsidRPr="003E544E">
              <w:rPr>
                <w:rFonts w:hint="eastAsia"/>
                <w:b/>
                <w:bCs/>
                <w:color w:val="000000" w:themeColor="text1"/>
              </w:rPr>
              <w:t>2016</w:t>
            </w:r>
            <w:r w:rsidRPr="003E544E">
              <w:rPr>
                <w:rFonts w:hint="eastAsia"/>
                <w:b/>
                <w:bCs/>
                <w:color w:val="000000" w:themeColor="text1"/>
              </w:rPr>
              <w:t>年</w:t>
            </w:r>
            <w:r>
              <w:rPr>
                <w:rFonts w:hint="eastAsia"/>
                <w:b/>
                <w:bCs/>
                <w:color w:val="000000" w:themeColor="text1"/>
              </w:rPr>
              <w:t>7</w:t>
            </w:r>
            <w:r w:rsidRPr="003E544E">
              <w:rPr>
                <w:rFonts w:hint="eastAsia"/>
                <w:b/>
                <w:bCs/>
                <w:color w:val="000000" w:themeColor="text1"/>
              </w:rPr>
              <w:t>月会议纪要公布</w:t>
            </w:r>
            <w:proofErr w:type="gramStart"/>
            <w:r w:rsidRPr="003E544E">
              <w:rPr>
                <w:rFonts w:hint="eastAsia"/>
                <w:b/>
                <w:bCs/>
                <w:color w:val="000000" w:themeColor="text1"/>
              </w:rPr>
              <w:t>后</w:t>
            </w:r>
            <w:r>
              <w:rPr>
                <w:rFonts w:hint="eastAsia"/>
                <w:b/>
                <w:bCs/>
                <w:color w:val="000000" w:themeColor="text1"/>
              </w:rPr>
              <w:t>11</w:t>
            </w:r>
            <w:r w:rsidRPr="003E544E">
              <w:rPr>
                <w:rFonts w:hint="eastAsia"/>
                <w:b/>
                <w:bCs/>
                <w:color w:val="000000" w:themeColor="text1"/>
              </w:rPr>
              <w:t>月</w:t>
            </w:r>
            <w:proofErr w:type="gramEnd"/>
            <w:r w:rsidRPr="003E544E">
              <w:rPr>
                <w:rFonts w:hint="eastAsia"/>
                <w:b/>
                <w:bCs/>
                <w:color w:val="000000" w:themeColor="text1"/>
              </w:rPr>
              <w:t>加息概率</w:t>
            </w:r>
          </w:p>
        </w:tc>
      </w:tr>
      <w:tr w:rsidR="00BF5C83" w:rsidTr="00DC7A29">
        <w:tc>
          <w:tcPr>
            <w:tcW w:w="4264" w:type="dxa"/>
          </w:tcPr>
          <w:p w:rsidR="00BF5C83" w:rsidRDefault="00FC5912" w:rsidP="00EB60D3">
            <w:pPr>
              <w:pStyle w:val="p17"/>
              <w:spacing w:line="360" w:lineRule="auto"/>
              <w:rPr>
                <w:bCs/>
                <w:color w:val="000000" w:themeColor="text1"/>
              </w:rPr>
            </w:pPr>
            <w:r>
              <w:rPr>
                <w:noProof/>
              </w:rPr>
              <w:drawing>
                <wp:inline distT="0" distB="0" distL="0" distR="0" wp14:anchorId="583638A2" wp14:editId="332788F3">
                  <wp:extent cx="2608028" cy="2130949"/>
                  <wp:effectExtent l="0" t="0" r="19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05934" cy="2129238"/>
                          </a:xfrm>
                          <a:prstGeom prst="rect">
                            <a:avLst/>
                          </a:prstGeom>
                        </pic:spPr>
                      </pic:pic>
                    </a:graphicData>
                  </a:graphic>
                </wp:inline>
              </w:drawing>
            </w:r>
          </w:p>
        </w:tc>
        <w:tc>
          <w:tcPr>
            <w:tcW w:w="4264" w:type="dxa"/>
          </w:tcPr>
          <w:p w:rsidR="00BF5C83" w:rsidRDefault="00FC5912" w:rsidP="00EB60D3">
            <w:pPr>
              <w:pStyle w:val="p17"/>
              <w:spacing w:line="360" w:lineRule="auto"/>
              <w:rPr>
                <w:bCs/>
                <w:color w:val="000000" w:themeColor="text1"/>
              </w:rPr>
            </w:pPr>
            <w:r>
              <w:rPr>
                <w:noProof/>
              </w:rPr>
              <w:drawing>
                <wp:inline distT="0" distB="0" distL="0" distR="0" wp14:anchorId="0EBDB3EA" wp14:editId="1EABBF1F">
                  <wp:extent cx="2568129" cy="2099144"/>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76894" cy="2106308"/>
                          </a:xfrm>
                          <a:prstGeom prst="rect">
                            <a:avLst/>
                          </a:prstGeom>
                        </pic:spPr>
                      </pic:pic>
                    </a:graphicData>
                  </a:graphic>
                </wp:inline>
              </w:drawing>
            </w:r>
          </w:p>
        </w:tc>
      </w:tr>
      <w:tr w:rsidR="00BF5C83" w:rsidTr="00BF5C83">
        <w:tc>
          <w:tcPr>
            <w:tcW w:w="4264" w:type="dxa"/>
          </w:tcPr>
          <w:p w:rsidR="00BF5C83" w:rsidRPr="00BF5C83" w:rsidRDefault="00BF5C83" w:rsidP="00405305">
            <w:pPr>
              <w:pStyle w:val="p17"/>
              <w:spacing w:line="360" w:lineRule="auto"/>
              <w:rPr>
                <w:b/>
                <w:bCs/>
                <w:i/>
                <w:color w:val="000000" w:themeColor="text1"/>
                <w:sz w:val="18"/>
                <w:szCs w:val="18"/>
              </w:rPr>
            </w:pPr>
            <w:r w:rsidRPr="00834A3E">
              <w:rPr>
                <w:rFonts w:hint="eastAsia"/>
                <w:b/>
                <w:bCs/>
                <w:i/>
                <w:color w:val="E36C0A" w:themeColor="accent6" w:themeShade="BF"/>
                <w:sz w:val="18"/>
                <w:szCs w:val="18"/>
              </w:rPr>
              <w:t>数据来源：</w:t>
            </w:r>
            <w:r w:rsidR="00405305">
              <w:rPr>
                <w:rFonts w:hint="eastAsia"/>
                <w:b/>
                <w:bCs/>
                <w:i/>
                <w:color w:val="E36C0A" w:themeColor="accent6" w:themeShade="BF"/>
                <w:sz w:val="18"/>
                <w:szCs w:val="18"/>
              </w:rPr>
              <w:t>CMEGROUP</w:t>
            </w:r>
            <w:r w:rsidR="00405305">
              <w:rPr>
                <w:rFonts w:hint="eastAsia"/>
                <w:b/>
                <w:bCs/>
                <w:i/>
                <w:color w:val="E36C0A" w:themeColor="accent6" w:themeShade="BF"/>
                <w:sz w:val="18"/>
                <w:szCs w:val="18"/>
              </w:rPr>
              <w:t>、</w:t>
            </w:r>
            <w:proofErr w:type="gramStart"/>
            <w:r w:rsidRPr="00834A3E">
              <w:rPr>
                <w:rFonts w:hint="eastAsia"/>
                <w:b/>
                <w:bCs/>
                <w:i/>
                <w:color w:val="E36C0A" w:themeColor="accent6" w:themeShade="BF"/>
                <w:sz w:val="18"/>
                <w:szCs w:val="18"/>
              </w:rPr>
              <w:t>广期研究所</w:t>
            </w:r>
            <w:proofErr w:type="gramEnd"/>
          </w:p>
        </w:tc>
        <w:tc>
          <w:tcPr>
            <w:tcW w:w="4264" w:type="dxa"/>
          </w:tcPr>
          <w:p w:rsidR="00BF5C83" w:rsidRPr="00BF5C83" w:rsidRDefault="00BF5C83" w:rsidP="00EB60D3">
            <w:pPr>
              <w:pStyle w:val="p17"/>
              <w:spacing w:line="360" w:lineRule="auto"/>
              <w:rPr>
                <w:b/>
                <w:bCs/>
                <w:i/>
                <w:color w:val="000000" w:themeColor="text1"/>
                <w:sz w:val="18"/>
                <w:szCs w:val="18"/>
              </w:rPr>
            </w:pPr>
            <w:r w:rsidRPr="00834A3E">
              <w:rPr>
                <w:rFonts w:hint="eastAsia"/>
                <w:b/>
                <w:bCs/>
                <w:i/>
                <w:color w:val="E36C0A" w:themeColor="accent6" w:themeShade="BF"/>
                <w:sz w:val="18"/>
                <w:szCs w:val="18"/>
              </w:rPr>
              <w:t>数据来源：</w:t>
            </w:r>
            <w:r w:rsidR="00405305">
              <w:rPr>
                <w:rFonts w:hint="eastAsia"/>
                <w:b/>
                <w:bCs/>
                <w:i/>
                <w:color w:val="E36C0A" w:themeColor="accent6" w:themeShade="BF"/>
                <w:sz w:val="18"/>
                <w:szCs w:val="18"/>
              </w:rPr>
              <w:t>CMEGROUP</w:t>
            </w:r>
            <w:r w:rsidRPr="00834A3E">
              <w:rPr>
                <w:rFonts w:hint="eastAsia"/>
                <w:b/>
                <w:bCs/>
                <w:i/>
                <w:color w:val="E36C0A" w:themeColor="accent6" w:themeShade="BF"/>
                <w:sz w:val="18"/>
                <w:szCs w:val="18"/>
              </w:rPr>
              <w:t>、</w:t>
            </w:r>
            <w:proofErr w:type="gramStart"/>
            <w:r w:rsidRPr="00834A3E">
              <w:rPr>
                <w:rFonts w:hint="eastAsia"/>
                <w:b/>
                <w:bCs/>
                <w:i/>
                <w:color w:val="E36C0A" w:themeColor="accent6" w:themeShade="BF"/>
                <w:sz w:val="18"/>
                <w:szCs w:val="18"/>
              </w:rPr>
              <w:t>广期研究所</w:t>
            </w:r>
            <w:proofErr w:type="gramEnd"/>
          </w:p>
        </w:tc>
      </w:tr>
    </w:tbl>
    <w:p w:rsidR="00FC5912" w:rsidRPr="00D94C6B" w:rsidRDefault="00FC5912" w:rsidP="00FC5912">
      <w:pPr>
        <w:pStyle w:val="p17"/>
        <w:spacing w:line="360" w:lineRule="auto"/>
        <w:rPr>
          <w:bCs/>
          <w:color w:val="000000" w:themeColor="text1"/>
        </w:rPr>
      </w:pPr>
    </w:p>
    <w:tbl>
      <w:tblPr>
        <w:tblStyle w:val="ab"/>
        <w:tblW w:w="0" w:type="auto"/>
        <w:tblLayout w:type="fixed"/>
        <w:tblLook w:val="04A0" w:firstRow="1" w:lastRow="0" w:firstColumn="1" w:lastColumn="0" w:noHBand="0" w:noVBand="1"/>
      </w:tblPr>
      <w:tblGrid>
        <w:gridCol w:w="4264"/>
        <w:gridCol w:w="4264"/>
      </w:tblGrid>
      <w:tr w:rsidR="00FC5912" w:rsidTr="008B1840">
        <w:tc>
          <w:tcPr>
            <w:tcW w:w="4264" w:type="dxa"/>
            <w:shd w:val="clear" w:color="auto" w:fill="E36C0A" w:themeFill="accent6" w:themeFillShade="BF"/>
          </w:tcPr>
          <w:p w:rsidR="00FC5912" w:rsidRPr="003E544E" w:rsidRDefault="00FC5912" w:rsidP="008B1840">
            <w:pPr>
              <w:pStyle w:val="p17"/>
              <w:spacing w:line="360" w:lineRule="auto"/>
              <w:rPr>
                <w:b/>
                <w:bCs/>
                <w:color w:val="000000" w:themeColor="text1"/>
              </w:rPr>
            </w:pPr>
            <w:r w:rsidRPr="003E544E">
              <w:rPr>
                <w:rFonts w:hint="eastAsia"/>
                <w:b/>
                <w:bCs/>
                <w:color w:val="000000" w:themeColor="text1"/>
              </w:rPr>
              <w:t>2016</w:t>
            </w:r>
            <w:r w:rsidRPr="003E544E">
              <w:rPr>
                <w:rFonts w:hint="eastAsia"/>
                <w:b/>
                <w:bCs/>
                <w:color w:val="000000" w:themeColor="text1"/>
              </w:rPr>
              <w:t>年</w:t>
            </w:r>
            <w:r w:rsidR="006E2888">
              <w:rPr>
                <w:rFonts w:hint="eastAsia"/>
                <w:b/>
                <w:bCs/>
                <w:color w:val="000000" w:themeColor="text1"/>
              </w:rPr>
              <w:t>7</w:t>
            </w:r>
            <w:r w:rsidRPr="003E544E">
              <w:rPr>
                <w:rFonts w:hint="eastAsia"/>
                <w:b/>
                <w:bCs/>
                <w:color w:val="000000" w:themeColor="text1"/>
              </w:rPr>
              <w:t>月会议纪要公布</w:t>
            </w:r>
            <w:proofErr w:type="gramStart"/>
            <w:r w:rsidRPr="003E544E">
              <w:rPr>
                <w:rFonts w:hint="eastAsia"/>
                <w:b/>
                <w:bCs/>
                <w:color w:val="000000" w:themeColor="text1"/>
              </w:rPr>
              <w:t>后</w:t>
            </w:r>
            <w:r w:rsidR="006E2888">
              <w:rPr>
                <w:rFonts w:hint="eastAsia"/>
                <w:b/>
                <w:bCs/>
                <w:color w:val="000000" w:themeColor="text1"/>
              </w:rPr>
              <w:t>12</w:t>
            </w:r>
            <w:r w:rsidRPr="003E544E">
              <w:rPr>
                <w:rFonts w:hint="eastAsia"/>
                <w:b/>
                <w:bCs/>
                <w:color w:val="000000" w:themeColor="text1"/>
              </w:rPr>
              <w:t>月</w:t>
            </w:r>
            <w:proofErr w:type="gramEnd"/>
            <w:r w:rsidRPr="003E544E">
              <w:rPr>
                <w:rFonts w:hint="eastAsia"/>
                <w:b/>
                <w:bCs/>
                <w:color w:val="000000" w:themeColor="text1"/>
              </w:rPr>
              <w:t>加息概率</w:t>
            </w:r>
          </w:p>
        </w:tc>
        <w:tc>
          <w:tcPr>
            <w:tcW w:w="4264" w:type="dxa"/>
            <w:shd w:val="clear" w:color="auto" w:fill="E36C0A" w:themeFill="accent6" w:themeFillShade="BF"/>
          </w:tcPr>
          <w:p w:rsidR="00FC5912" w:rsidRPr="003E544E" w:rsidRDefault="006E2888" w:rsidP="006E2888">
            <w:pPr>
              <w:pStyle w:val="p17"/>
              <w:spacing w:line="360" w:lineRule="auto"/>
              <w:rPr>
                <w:b/>
                <w:bCs/>
                <w:color w:val="000000" w:themeColor="text1"/>
              </w:rPr>
            </w:pPr>
            <w:r w:rsidRPr="003E544E">
              <w:rPr>
                <w:rFonts w:hint="eastAsia"/>
                <w:b/>
                <w:bCs/>
                <w:color w:val="000000" w:themeColor="text1"/>
              </w:rPr>
              <w:t>2016</w:t>
            </w:r>
            <w:r w:rsidRPr="003E544E">
              <w:rPr>
                <w:rFonts w:hint="eastAsia"/>
                <w:b/>
                <w:bCs/>
                <w:color w:val="000000" w:themeColor="text1"/>
              </w:rPr>
              <w:t>年</w:t>
            </w:r>
            <w:r>
              <w:rPr>
                <w:rFonts w:hint="eastAsia"/>
                <w:b/>
                <w:bCs/>
                <w:color w:val="000000" w:themeColor="text1"/>
              </w:rPr>
              <w:t>7</w:t>
            </w:r>
            <w:r>
              <w:rPr>
                <w:rFonts w:hint="eastAsia"/>
                <w:b/>
                <w:bCs/>
                <w:color w:val="000000" w:themeColor="text1"/>
              </w:rPr>
              <w:t>月会议纪</w:t>
            </w:r>
            <w:r w:rsidRPr="003E544E">
              <w:rPr>
                <w:rFonts w:hint="eastAsia"/>
                <w:b/>
                <w:bCs/>
                <w:color w:val="000000" w:themeColor="text1"/>
              </w:rPr>
              <w:t>后</w:t>
            </w:r>
            <w:r>
              <w:rPr>
                <w:rFonts w:hint="eastAsia"/>
                <w:b/>
                <w:bCs/>
                <w:color w:val="000000" w:themeColor="text1"/>
              </w:rPr>
              <w:t>2017</w:t>
            </w:r>
            <w:r>
              <w:rPr>
                <w:rFonts w:hint="eastAsia"/>
                <w:b/>
                <w:bCs/>
                <w:color w:val="000000" w:themeColor="text1"/>
              </w:rPr>
              <w:t>年</w:t>
            </w:r>
            <w:r>
              <w:rPr>
                <w:rFonts w:hint="eastAsia"/>
                <w:b/>
                <w:bCs/>
                <w:color w:val="000000" w:themeColor="text1"/>
              </w:rPr>
              <w:t>1</w:t>
            </w:r>
            <w:r w:rsidRPr="003E544E">
              <w:rPr>
                <w:rFonts w:hint="eastAsia"/>
                <w:b/>
                <w:bCs/>
                <w:color w:val="000000" w:themeColor="text1"/>
              </w:rPr>
              <w:t>月加息概率</w:t>
            </w:r>
          </w:p>
        </w:tc>
      </w:tr>
      <w:tr w:rsidR="00FC5912" w:rsidTr="008B1840">
        <w:tc>
          <w:tcPr>
            <w:tcW w:w="4264" w:type="dxa"/>
          </w:tcPr>
          <w:p w:rsidR="00FC5912" w:rsidRDefault="006E2888" w:rsidP="008B1840">
            <w:pPr>
              <w:pStyle w:val="p17"/>
              <w:spacing w:line="360" w:lineRule="auto"/>
              <w:rPr>
                <w:bCs/>
                <w:color w:val="000000" w:themeColor="text1"/>
              </w:rPr>
            </w:pPr>
            <w:r>
              <w:rPr>
                <w:noProof/>
              </w:rPr>
              <w:drawing>
                <wp:inline distT="0" distB="0" distL="0" distR="0" wp14:anchorId="63614544" wp14:editId="35572691">
                  <wp:extent cx="2608028" cy="2107096"/>
                  <wp:effectExtent l="0" t="0" r="1905"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10834" cy="2109363"/>
                          </a:xfrm>
                          <a:prstGeom prst="rect">
                            <a:avLst/>
                          </a:prstGeom>
                        </pic:spPr>
                      </pic:pic>
                    </a:graphicData>
                  </a:graphic>
                </wp:inline>
              </w:drawing>
            </w:r>
          </w:p>
        </w:tc>
        <w:tc>
          <w:tcPr>
            <w:tcW w:w="4264" w:type="dxa"/>
          </w:tcPr>
          <w:p w:rsidR="00FC5912" w:rsidRDefault="006E2888" w:rsidP="008B1840">
            <w:pPr>
              <w:pStyle w:val="p17"/>
              <w:spacing w:line="360" w:lineRule="auto"/>
              <w:rPr>
                <w:bCs/>
                <w:color w:val="000000" w:themeColor="text1"/>
              </w:rPr>
            </w:pPr>
            <w:r>
              <w:rPr>
                <w:noProof/>
              </w:rPr>
              <w:drawing>
                <wp:inline distT="0" distB="0" distL="0" distR="0" wp14:anchorId="6D400FA5" wp14:editId="4DA51265">
                  <wp:extent cx="2615979" cy="2170706"/>
                  <wp:effectExtent l="0" t="0" r="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17854" cy="2172262"/>
                          </a:xfrm>
                          <a:prstGeom prst="rect">
                            <a:avLst/>
                          </a:prstGeom>
                        </pic:spPr>
                      </pic:pic>
                    </a:graphicData>
                  </a:graphic>
                </wp:inline>
              </w:drawing>
            </w:r>
          </w:p>
        </w:tc>
      </w:tr>
      <w:tr w:rsidR="00FC5912" w:rsidTr="008B1840">
        <w:tc>
          <w:tcPr>
            <w:tcW w:w="4264" w:type="dxa"/>
          </w:tcPr>
          <w:p w:rsidR="00FC5912" w:rsidRPr="00BF5C83" w:rsidRDefault="00FC5912" w:rsidP="008B1840">
            <w:pPr>
              <w:pStyle w:val="p17"/>
              <w:spacing w:line="360" w:lineRule="auto"/>
              <w:rPr>
                <w:b/>
                <w:bCs/>
                <w:i/>
                <w:color w:val="000000" w:themeColor="text1"/>
                <w:sz w:val="18"/>
                <w:szCs w:val="18"/>
              </w:rPr>
            </w:pPr>
            <w:r w:rsidRPr="00834A3E">
              <w:rPr>
                <w:rFonts w:hint="eastAsia"/>
                <w:b/>
                <w:bCs/>
                <w:i/>
                <w:color w:val="E36C0A" w:themeColor="accent6" w:themeShade="BF"/>
                <w:sz w:val="18"/>
                <w:szCs w:val="18"/>
              </w:rPr>
              <w:t>数据来源：</w:t>
            </w:r>
            <w:r w:rsidR="00405305">
              <w:rPr>
                <w:rFonts w:hint="eastAsia"/>
                <w:b/>
                <w:bCs/>
                <w:i/>
                <w:color w:val="E36C0A" w:themeColor="accent6" w:themeShade="BF"/>
                <w:sz w:val="18"/>
                <w:szCs w:val="18"/>
              </w:rPr>
              <w:t>CMEGROUP</w:t>
            </w:r>
            <w:r w:rsidRPr="00834A3E">
              <w:rPr>
                <w:rFonts w:hint="eastAsia"/>
                <w:b/>
                <w:bCs/>
                <w:i/>
                <w:color w:val="E36C0A" w:themeColor="accent6" w:themeShade="BF"/>
                <w:sz w:val="18"/>
                <w:szCs w:val="18"/>
              </w:rPr>
              <w:t>、</w:t>
            </w:r>
            <w:proofErr w:type="gramStart"/>
            <w:r w:rsidRPr="00834A3E">
              <w:rPr>
                <w:rFonts w:hint="eastAsia"/>
                <w:b/>
                <w:bCs/>
                <w:i/>
                <w:color w:val="E36C0A" w:themeColor="accent6" w:themeShade="BF"/>
                <w:sz w:val="18"/>
                <w:szCs w:val="18"/>
              </w:rPr>
              <w:t>广期研究所</w:t>
            </w:r>
            <w:proofErr w:type="gramEnd"/>
          </w:p>
        </w:tc>
        <w:tc>
          <w:tcPr>
            <w:tcW w:w="4264" w:type="dxa"/>
          </w:tcPr>
          <w:p w:rsidR="00FC5912" w:rsidRPr="00BF5C83" w:rsidRDefault="00FC5912" w:rsidP="008B1840">
            <w:pPr>
              <w:pStyle w:val="p17"/>
              <w:spacing w:line="360" w:lineRule="auto"/>
              <w:rPr>
                <w:b/>
                <w:bCs/>
                <w:i/>
                <w:color w:val="000000" w:themeColor="text1"/>
                <w:sz w:val="18"/>
                <w:szCs w:val="18"/>
              </w:rPr>
            </w:pPr>
            <w:r w:rsidRPr="00834A3E">
              <w:rPr>
                <w:rFonts w:hint="eastAsia"/>
                <w:b/>
                <w:bCs/>
                <w:i/>
                <w:color w:val="E36C0A" w:themeColor="accent6" w:themeShade="BF"/>
                <w:sz w:val="18"/>
                <w:szCs w:val="18"/>
              </w:rPr>
              <w:t>数据来源：</w:t>
            </w:r>
            <w:r w:rsidR="00405305">
              <w:rPr>
                <w:rFonts w:hint="eastAsia"/>
                <w:b/>
                <w:bCs/>
                <w:i/>
                <w:color w:val="E36C0A" w:themeColor="accent6" w:themeShade="BF"/>
                <w:sz w:val="18"/>
                <w:szCs w:val="18"/>
              </w:rPr>
              <w:t>CMEGROUP</w:t>
            </w:r>
            <w:r w:rsidRPr="00834A3E">
              <w:rPr>
                <w:rFonts w:hint="eastAsia"/>
                <w:b/>
                <w:bCs/>
                <w:i/>
                <w:color w:val="E36C0A" w:themeColor="accent6" w:themeShade="BF"/>
                <w:sz w:val="18"/>
                <w:szCs w:val="18"/>
              </w:rPr>
              <w:t>、</w:t>
            </w:r>
            <w:proofErr w:type="gramStart"/>
            <w:r w:rsidRPr="00834A3E">
              <w:rPr>
                <w:rFonts w:hint="eastAsia"/>
                <w:b/>
                <w:bCs/>
                <w:i/>
                <w:color w:val="E36C0A" w:themeColor="accent6" w:themeShade="BF"/>
                <w:sz w:val="18"/>
                <w:szCs w:val="18"/>
              </w:rPr>
              <w:t>广期研究所</w:t>
            </w:r>
            <w:proofErr w:type="gramEnd"/>
          </w:p>
        </w:tc>
      </w:tr>
    </w:tbl>
    <w:p w:rsidR="00FC5912" w:rsidRPr="00FC5912" w:rsidRDefault="00FC5912" w:rsidP="00D904E3">
      <w:pPr>
        <w:pStyle w:val="p17"/>
        <w:spacing w:line="360" w:lineRule="auto"/>
        <w:rPr>
          <w:bCs/>
          <w:color w:val="000000" w:themeColor="text1"/>
        </w:rPr>
      </w:pPr>
    </w:p>
    <w:p w:rsidR="00FC5912" w:rsidRDefault="00FC5912" w:rsidP="00D904E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A92F4C" w:rsidRPr="00F71C04" w:rsidRDefault="00A92F4C" w:rsidP="00EB60D3">
      <w:pPr>
        <w:pStyle w:val="p17"/>
        <w:spacing w:line="360" w:lineRule="auto"/>
        <w:rPr>
          <w:bCs/>
          <w:color w:val="000000" w:themeColor="text1"/>
        </w:rPr>
      </w:pPr>
    </w:p>
    <w:p w:rsidR="00344C0C" w:rsidRDefault="00344C0C" w:rsidP="00344C0C">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344C0C" w:rsidRDefault="00344C0C" w:rsidP="00344C0C">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344C0C" w:rsidRDefault="00344C0C" w:rsidP="00344C0C">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344C0C" w:rsidRDefault="00344C0C" w:rsidP="00344C0C">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344C0C" w:rsidRDefault="00344C0C" w:rsidP="00344C0C">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344C0C" w:rsidRDefault="00344C0C" w:rsidP="00344C0C">
      <w:pPr>
        <w:pStyle w:val="p17"/>
        <w:rPr>
          <w:rFonts w:ascii="宋体" w:hAnsi="宋体"/>
        </w:rPr>
      </w:pPr>
    </w:p>
    <w:p w:rsidR="00344C0C" w:rsidRDefault="00344C0C" w:rsidP="00344C0C">
      <w:pPr>
        <w:pStyle w:val="p17"/>
        <w:rPr>
          <w:rFonts w:ascii="宋体" w:hAnsi="宋体"/>
        </w:rPr>
      </w:pPr>
    </w:p>
    <w:p w:rsidR="00344C0C" w:rsidRDefault="00344C0C" w:rsidP="00344C0C">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344C0C" w:rsidRDefault="00344C0C" w:rsidP="00344C0C">
      <w:pPr>
        <w:pStyle w:val="p17"/>
        <w:rPr>
          <w:rFonts w:ascii="宋体" w:hAnsi="宋体"/>
          <w:sz w:val="24"/>
          <w:szCs w:val="24"/>
        </w:rPr>
      </w:pPr>
    </w:p>
    <w:p w:rsidR="00344C0C" w:rsidRDefault="00344C0C" w:rsidP="00344C0C">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34DAE966" wp14:editId="4D38D109">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17B81E17" wp14:editId="0D670757">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449143CF" wp14:editId="13E346AD">
            <wp:extent cx="835025" cy="771525"/>
            <wp:effectExtent l="0" t="0" r="0" b="0"/>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111B1299" wp14:editId="56A53074">
            <wp:extent cx="835025" cy="755650"/>
            <wp:effectExtent l="0" t="0" r="0" b="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344C0C" w:rsidRDefault="00344C0C" w:rsidP="00344C0C">
      <w:pPr>
        <w:pStyle w:val="p17"/>
        <w:rPr>
          <w:rFonts w:ascii="宋体" w:hAnsi="宋体"/>
          <w:sz w:val="18"/>
          <w:szCs w:val="18"/>
        </w:rPr>
      </w:pPr>
      <w:r>
        <w:rPr>
          <w:rFonts w:ascii="宋体" w:hAnsi="宋体" w:hint="eastAsia"/>
          <w:sz w:val="18"/>
          <w:szCs w:val="18"/>
        </w:rPr>
        <w:t xml:space="preserve">    金融研究               农产品研究                金属研究                 能源化工</w:t>
      </w:r>
    </w:p>
    <w:p w:rsidR="00344C0C" w:rsidRDefault="00344C0C" w:rsidP="00344C0C">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344C0C" w:rsidRDefault="00344C0C" w:rsidP="00344C0C">
      <w:pPr>
        <w:pStyle w:val="p17"/>
        <w:rPr>
          <w:rFonts w:ascii="宋体" w:hAnsi="宋体"/>
          <w:b/>
          <w:bCs/>
          <w:sz w:val="18"/>
          <w:szCs w:val="18"/>
        </w:rPr>
      </w:pPr>
    </w:p>
    <w:p w:rsidR="00344C0C" w:rsidRDefault="00344C0C" w:rsidP="00344C0C">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344C0C" w:rsidRDefault="00344C0C" w:rsidP="00344C0C">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344C0C" w:rsidRDefault="00344C0C" w:rsidP="00344C0C">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sectPr w:rsidR="00344C0C" w:rsidSect="00777534">
      <w:headerReference w:type="default" r:id="rId18"/>
      <w:footerReference w:type="even" r:id="rId19"/>
      <w:footerReference w:type="default" r:id="rId20"/>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35" w:rsidRDefault="00F35735">
      <w:r>
        <w:separator/>
      </w:r>
    </w:p>
  </w:endnote>
  <w:endnote w:type="continuationSeparator" w:id="0">
    <w:p w:rsidR="00F35735" w:rsidRDefault="00F3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separate"/>
    </w:r>
    <w:r w:rsidR="00DF5A20">
      <w:rPr>
        <w:rStyle w:val="a3"/>
        <w:noProof/>
      </w:rPr>
      <w:t>2</w:t>
    </w:r>
    <w:r>
      <w:fldChar w:fldCharType="end"/>
    </w:r>
  </w:p>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35" w:rsidRDefault="00F35735">
      <w:r>
        <w:separator/>
      </w:r>
    </w:p>
  </w:footnote>
  <w:footnote w:type="continuationSeparator" w:id="0">
    <w:p w:rsidR="00F35735" w:rsidRDefault="00F35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7ABFF848" wp14:editId="31A4D818">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AD75244"/>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CE024F"/>
    <w:multiLevelType w:val="hybridMultilevel"/>
    <w:tmpl w:val="C85E7286"/>
    <w:lvl w:ilvl="0" w:tplc="13EA34A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6">
    <w:nsid w:val="63D11607"/>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A73303"/>
    <w:multiLevelType w:val="hybridMultilevel"/>
    <w:tmpl w:val="9A148762"/>
    <w:lvl w:ilvl="0" w:tplc="2BD61AA4">
      <w:start w:val="1"/>
      <w:numFmt w:val="japaneseCounting"/>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200A"/>
    <w:rsid w:val="00003812"/>
    <w:rsid w:val="0000435C"/>
    <w:rsid w:val="00005830"/>
    <w:rsid w:val="00005F3B"/>
    <w:rsid w:val="0000792A"/>
    <w:rsid w:val="00011B6E"/>
    <w:rsid w:val="00011F53"/>
    <w:rsid w:val="00012C9F"/>
    <w:rsid w:val="0001376A"/>
    <w:rsid w:val="0001521F"/>
    <w:rsid w:val="000154F1"/>
    <w:rsid w:val="000162BB"/>
    <w:rsid w:val="000166C0"/>
    <w:rsid w:val="000171CC"/>
    <w:rsid w:val="00017363"/>
    <w:rsid w:val="00017B09"/>
    <w:rsid w:val="00017FDE"/>
    <w:rsid w:val="00020355"/>
    <w:rsid w:val="00020A3E"/>
    <w:rsid w:val="00020B42"/>
    <w:rsid w:val="000217BB"/>
    <w:rsid w:val="00023222"/>
    <w:rsid w:val="000233CB"/>
    <w:rsid w:val="00024A8C"/>
    <w:rsid w:val="00025ADF"/>
    <w:rsid w:val="00025F06"/>
    <w:rsid w:val="000266F3"/>
    <w:rsid w:val="000305F7"/>
    <w:rsid w:val="00030EE1"/>
    <w:rsid w:val="00034A41"/>
    <w:rsid w:val="00034A46"/>
    <w:rsid w:val="0003537C"/>
    <w:rsid w:val="00035D9E"/>
    <w:rsid w:val="0003617E"/>
    <w:rsid w:val="0004045C"/>
    <w:rsid w:val="00040821"/>
    <w:rsid w:val="00040B55"/>
    <w:rsid w:val="00041BC4"/>
    <w:rsid w:val="0004270D"/>
    <w:rsid w:val="00044C9D"/>
    <w:rsid w:val="000450B8"/>
    <w:rsid w:val="000465E3"/>
    <w:rsid w:val="00050F09"/>
    <w:rsid w:val="0005155C"/>
    <w:rsid w:val="00051A4D"/>
    <w:rsid w:val="00051D86"/>
    <w:rsid w:val="00052216"/>
    <w:rsid w:val="000538FF"/>
    <w:rsid w:val="00053FC9"/>
    <w:rsid w:val="00054434"/>
    <w:rsid w:val="0005452F"/>
    <w:rsid w:val="00056C5C"/>
    <w:rsid w:val="00057191"/>
    <w:rsid w:val="00060053"/>
    <w:rsid w:val="00061852"/>
    <w:rsid w:val="00061CA0"/>
    <w:rsid w:val="000622DC"/>
    <w:rsid w:val="000634FF"/>
    <w:rsid w:val="00064247"/>
    <w:rsid w:val="00064F9B"/>
    <w:rsid w:val="00067620"/>
    <w:rsid w:val="00070164"/>
    <w:rsid w:val="000701C7"/>
    <w:rsid w:val="00070C6C"/>
    <w:rsid w:val="00071733"/>
    <w:rsid w:val="000728A4"/>
    <w:rsid w:val="0007383F"/>
    <w:rsid w:val="00073F0F"/>
    <w:rsid w:val="00075100"/>
    <w:rsid w:val="0007697D"/>
    <w:rsid w:val="000827EE"/>
    <w:rsid w:val="000828F3"/>
    <w:rsid w:val="000835E5"/>
    <w:rsid w:val="00083D75"/>
    <w:rsid w:val="0008431C"/>
    <w:rsid w:val="00084976"/>
    <w:rsid w:val="00090D8E"/>
    <w:rsid w:val="00090F69"/>
    <w:rsid w:val="00092505"/>
    <w:rsid w:val="00093B4F"/>
    <w:rsid w:val="00094084"/>
    <w:rsid w:val="00095294"/>
    <w:rsid w:val="000962F8"/>
    <w:rsid w:val="00096445"/>
    <w:rsid w:val="00096A5B"/>
    <w:rsid w:val="00096D32"/>
    <w:rsid w:val="000A0888"/>
    <w:rsid w:val="000A0F1C"/>
    <w:rsid w:val="000A2CCE"/>
    <w:rsid w:val="000A32EF"/>
    <w:rsid w:val="000A4F6B"/>
    <w:rsid w:val="000A67DD"/>
    <w:rsid w:val="000B169A"/>
    <w:rsid w:val="000B1E01"/>
    <w:rsid w:val="000B3268"/>
    <w:rsid w:val="000B3E1A"/>
    <w:rsid w:val="000B417C"/>
    <w:rsid w:val="000B444E"/>
    <w:rsid w:val="000B6037"/>
    <w:rsid w:val="000B60FF"/>
    <w:rsid w:val="000B6188"/>
    <w:rsid w:val="000B6826"/>
    <w:rsid w:val="000B6EF7"/>
    <w:rsid w:val="000B7A29"/>
    <w:rsid w:val="000C025F"/>
    <w:rsid w:val="000C0456"/>
    <w:rsid w:val="000C5915"/>
    <w:rsid w:val="000C61CA"/>
    <w:rsid w:val="000D2912"/>
    <w:rsid w:val="000D589E"/>
    <w:rsid w:val="000D58FA"/>
    <w:rsid w:val="000D5D7F"/>
    <w:rsid w:val="000D69DF"/>
    <w:rsid w:val="000D7156"/>
    <w:rsid w:val="000D75F4"/>
    <w:rsid w:val="000E0BBF"/>
    <w:rsid w:val="000E0EE7"/>
    <w:rsid w:val="000E184E"/>
    <w:rsid w:val="000E1FCE"/>
    <w:rsid w:val="000E1FDC"/>
    <w:rsid w:val="000E27A5"/>
    <w:rsid w:val="000E3DEA"/>
    <w:rsid w:val="000E3FC8"/>
    <w:rsid w:val="000E3FED"/>
    <w:rsid w:val="000E487D"/>
    <w:rsid w:val="000E48DB"/>
    <w:rsid w:val="000E4B8F"/>
    <w:rsid w:val="000E4E68"/>
    <w:rsid w:val="000E6002"/>
    <w:rsid w:val="000E6132"/>
    <w:rsid w:val="000E6B27"/>
    <w:rsid w:val="000F0893"/>
    <w:rsid w:val="000F0BC2"/>
    <w:rsid w:val="000F185E"/>
    <w:rsid w:val="000F1C56"/>
    <w:rsid w:val="000F26D7"/>
    <w:rsid w:val="000F2E12"/>
    <w:rsid w:val="000F314E"/>
    <w:rsid w:val="000F368E"/>
    <w:rsid w:val="000F4767"/>
    <w:rsid w:val="000F4A2A"/>
    <w:rsid w:val="000F5ABB"/>
    <w:rsid w:val="000F5C7A"/>
    <w:rsid w:val="000F75A1"/>
    <w:rsid w:val="00100731"/>
    <w:rsid w:val="00100907"/>
    <w:rsid w:val="00100939"/>
    <w:rsid w:val="00101E36"/>
    <w:rsid w:val="00101F90"/>
    <w:rsid w:val="00103E21"/>
    <w:rsid w:val="001042E4"/>
    <w:rsid w:val="001043E9"/>
    <w:rsid w:val="0010508B"/>
    <w:rsid w:val="00105213"/>
    <w:rsid w:val="00105ABE"/>
    <w:rsid w:val="001062DB"/>
    <w:rsid w:val="00106EDC"/>
    <w:rsid w:val="0011097B"/>
    <w:rsid w:val="0011455C"/>
    <w:rsid w:val="0011475F"/>
    <w:rsid w:val="00114E17"/>
    <w:rsid w:val="00115B96"/>
    <w:rsid w:val="00115C0E"/>
    <w:rsid w:val="00117866"/>
    <w:rsid w:val="0012057F"/>
    <w:rsid w:val="00121302"/>
    <w:rsid w:val="00121AA3"/>
    <w:rsid w:val="0012215A"/>
    <w:rsid w:val="00122B33"/>
    <w:rsid w:val="00124C41"/>
    <w:rsid w:val="00125F45"/>
    <w:rsid w:val="00125F63"/>
    <w:rsid w:val="0012694B"/>
    <w:rsid w:val="001270C3"/>
    <w:rsid w:val="00127143"/>
    <w:rsid w:val="00127802"/>
    <w:rsid w:val="00127B02"/>
    <w:rsid w:val="00127DB5"/>
    <w:rsid w:val="001304AC"/>
    <w:rsid w:val="001307DF"/>
    <w:rsid w:val="00130C30"/>
    <w:rsid w:val="00130F0C"/>
    <w:rsid w:val="00130F8D"/>
    <w:rsid w:val="00131745"/>
    <w:rsid w:val="00132002"/>
    <w:rsid w:val="001323A8"/>
    <w:rsid w:val="001327F4"/>
    <w:rsid w:val="00132AA1"/>
    <w:rsid w:val="00133964"/>
    <w:rsid w:val="001339D8"/>
    <w:rsid w:val="00135D2B"/>
    <w:rsid w:val="001376DB"/>
    <w:rsid w:val="00140FA4"/>
    <w:rsid w:val="00141355"/>
    <w:rsid w:val="00141648"/>
    <w:rsid w:val="0014173A"/>
    <w:rsid w:val="00142C1E"/>
    <w:rsid w:val="00143914"/>
    <w:rsid w:val="0014457E"/>
    <w:rsid w:val="00145A46"/>
    <w:rsid w:val="00145F06"/>
    <w:rsid w:val="00145F0E"/>
    <w:rsid w:val="00146F33"/>
    <w:rsid w:val="001479AA"/>
    <w:rsid w:val="001518DA"/>
    <w:rsid w:val="001532C1"/>
    <w:rsid w:val="001544ED"/>
    <w:rsid w:val="00156E25"/>
    <w:rsid w:val="001607D1"/>
    <w:rsid w:val="001621F0"/>
    <w:rsid w:val="00162D12"/>
    <w:rsid w:val="001640E6"/>
    <w:rsid w:val="00165602"/>
    <w:rsid w:val="001660AA"/>
    <w:rsid w:val="0016644F"/>
    <w:rsid w:val="001664D3"/>
    <w:rsid w:val="00166DC3"/>
    <w:rsid w:val="00172A27"/>
    <w:rsid w:val="00173087"/>
    <w:rsid w:val="001731B9"/>
    <w:rsid w:val="001735DD"/>
    <w:rsid w:val="001738C6"/>
    <w:rsid w:val="00173E5D"/>
    <w:rsid w:val="00174011"/>
    <w:rsid w:val="001744CA"/>
    <w:rsid w:val="00175D2E"/>
    <w:rsid w:val="0017614C"/>
    <w:rsid w:val="00176232"/>
    <w:rsid w:val="001769C0"/>
    <w:rsid w:val="00180656"/>
    <w:rsid w:val="0018191C"/>
    <w:rsid w:val="001834F7"/>
    <w:rsid w:val="00183AE8"/>
    <w:rsid w:val="00185EF5"/>
    <w:rsid w:val="001913BE"/>
    <w:rsid w:val="001914E2"/>
    <w:rsid w:val="00191C56"/>
    <w:rsid w:val="00191EB7"/>
    <w:rsid w:val="00192481"/>
    <w:rsid w:val="00192AAB"/>
    <w:rsid w:val="00193127"/>
    <w:rsid w:val="0019330B"/>
    <w:rsid w:val="0019379A"/>
    <w:rsid w:val="00193EB7"/>
    <w:rsid w:val="00194958"/>
    <w:rsid w:val="00194C1C"/>
    <w:rsid w:val="00195998"/>
    <w:rsid w:val="001971A0"/>
    <w:rsid w:val="00197C30"/>
    <w:rsid w:val="001A0450"/>
    <w:rsid w:val="001A04DA"/>
    <w:rsid w:val="001A220C"/>
    <w:rsid w:val="001A22F5"/>
    <w:rsid w:val="001A236B"/>
    <w:rsid w:val="001A266F"/>
    <w:rsid w:val="001A3FBE"/>
    <w:rsid w:val="001A4D5C"/>
    <w:rsid w:val="001A5585"/>
    <w:rsid w:val="001A57BB"/>
    <w:rsid w:val="001A7763"/>
    <w:rsid w:val="001B0513"/>
    <w:rsid w:val="001B0595"/>
    <w:rsid w:val="001B05BB"/>
    <w:rsid w:val="001B2846"/>
    <w:rsid w:val="001B6A9A"/>
    <w:rsid w:val="001C0C79"/>
    <w:rsid w:val="001C2B1C"/>
    <w:rsid w:val="001C3905"/>
    <w:rsid w:val="001C3B85"/>
    <w:rsid w:val="001C3BEB"/>
    <w:rsid w:val="001C4DDD"/>
    <w:rsid w:val="001C635B"/>
    <w:rsid w:val="001C66F9"/>
    <w:rsid w:val="001C6CA1"/>
    <w:rsid w:val="001C6E59"/>
    <w:rsid w:val="001C7925"/>
    <w:rsid w:val="001C7EB8"/>
    <w:rsid w:val="001C7FDD"/>
    <w:rsid w:val="001D05C2"/>
    <w:rsid w:val="001D106C"/>
    <w:rsid w:val="001D18F1"/>
    <w:rsid w:val="001D41B0"/>
    <w:rsid w:val="001D461F"/>
    <w:rsid w:val="001D5277"/>
    <w:rsid w:val="001D750A"/>
    <w:rsid w:val="001E0B63"/>
    <w:rsid w:val="001E1D3B"/>
    <w:rsid w:val="001E3272"/>
    <w:rsid w:val="001E595E"/>
    <w:rsid w:val="001E79E8"/>
    <w:rsid w:val="001F134B"/>
    <w:rsid w:val="001F3192"/>
    <w:rsid w:val="001F4DD5"/>
    <w:rsid w:val="001F774C"/>
    <w:rsid w:val="002001BB"/>
    <w:rsid w:val="00201D51"/>
    <w:rsid w:val="002044E3"/>
    <w:rsid w:val="002045BD"/>
    <w:rsid w:val="00204E86"/>
    <w:rsid w:val="00210A30"/>
    <w:rsid w:val="002116A0"/>
    <w:rsid w:val="00211EA9"/>
    <w:rsid w:val="002123BC"/>
    <w:rsid w:val="0021269D"/>
    <w:rsid w:val="00212E2B"/>
    <w:rsid w:val="00215458"/>
    <w:rsid w:val="0021632D"/>
    <w:rsid w:val="002164CE"/>
    <w:rsid w:val="00217F22"/>
    <w:rsid w:val="00217FC4"/>
    <w:rsid w:val="00220A3B"/>
    <w:rsid w:val="00221E4E"/>
    <w:rsid w:val="00221F3C"/>
    <w:rsid w:val="002235B7"/>
    <w:rsid w:val="00224B41"/>
    <w:rsid w:val="00224F1F"/>
    <w:rsid w:val="0022520D"/>
    <w:rsid w:val="00225DC1"/>
    <w:rsid w:val="00226512"/>
    <w:rsid w:val="002269D0"/>
    <w:rsid w:val="00227337"/>
    <w:rsid w:val="00227F95"/>
    <w:rsid w:val="00230D66"/>
    <w:rsid w:val="00231070"/>
    <w:rsid w:val="0023215F"/>
    <w:rsid w:val="0023280A"/>
    <w:rsid w:val="00234083"/>
    <w:rsid w:val="00234842"/>
    <w:rsid w:val="00235143"/>
    <w:rsid w:val="002355DE"/>
    <w:rsid w:val="00235C6D"/>
    <w:rsid w:val="00235FB2"/>
    <w:rsid w:val="002376A7"/>
    <w:rsid w:val="00242EC4"/>
    <w:rsid w:val="00243169"/>
    <w:rsid w:val="00243601"/>
    <w:rsid w:val="0024496D"/>
    <w:rsid w:val="00244B52"/>
    <w:rsid w:val="002454CD"/>
    <w:rsid w:val="002455A8"/>
    <w:rsid w:val="00247B48"/>
    <w:rsid w:val="00247EC1"/>
    <w:rsid w:val="002500D4"/>
    <w:rsid w:val="00251CEF"/>
    <w:rsid w:val="0025223F"/>
    <w:rsid w:val="0025238D"/>
    <w:rsid w:val="002532A1"/>
    <w:rsid w:val="00254203"/>
    <w:rsid w:val="002545ED"/>
    <w:rsid w:val="00255787"/>
    <w:rsid w:val="00257A7E"/>
    <w:rsid w:val="00260A37"/>
    <w:rsid w:val="00261B02"/>
    <w:rsid w:val="00265259"/>
    <w:rsid w:val="0026528B"/>
    <w:rsid w:val="00265FAF"/>
    <w:rsid w:val="00266B1D"/>
    <w:rsid w:val="00267DC0"/>
    <w:rsid w:val="00267E18"/>
    <w:rsid w:val="00267F4A"/>
    <w:rsid w:val="00270ECA"/>
    <w:rsid w:val="00272A6D"/>
    <w:rsid w:val="00272B31"/>
    <w:rsid w:val="00272DA9"/>
    <w:rsid w:val="002746E2"/>
    <w:rsid w:val="00276407"/>
    <w:rsid w:val="00280431"/>
    <w:rsid w:val="00280879"/>
    <w:rsid w:val="00280DD6"/>
    <w:rsid w:val="002817D6"/>
    <w:rsid w:val="00281B53"/>
    <w:rsid w:val="00281BF2"/>
    <w:rsid w:val="00282674"/>
    <w:rsid w:val="00284B05"/>
    <w:rsid w:val="0028513E"/>
    <w:rsid w:val="002854B0"/>
    <w:rsid w:val="00285536"/>
    <w:rsid w:val="0028625C"/>
    <w:rsid w:val="00291736"/>
    <w:rsid w:val="00292B6A"/>
    <w:rsid w:val="00293958"/>
    <w:rsid w:val="00294456"/>
    <w:rsid w:val="00295107"/>
    <w:rsid w:val="002969F7"/>
    <w:rsid w:val="00297002"/>
    <w:rsid w:val="002A048A"/>
    <w:rsid w:val="002A2A66"/>
    <w:rsid w:val="002A3266"/>
    <w:rsid w:val="002A33C3"/>
    <w:rsid w:val="002A375A"/>
    <w:rsid w:val="002A3C3F"/>
    <w:rsid w:val="002A4893"/>
    <w:rsid w:val="002A4CF0"/>
    <w:rsid w:val="002A5BFC"/>
    <w:rsid w:val="002A5D0D"/>
    <w:rsid w:val="002A7D85"/>
    <w:rsid w:val="002B0E9F"/>
    <w:rsid w:val="002B202B"/>
    <w:rsid w:val="002B39FA"/>
    <w:rsid w:val="002B3D7D"/>
    <w:rsid w:val="002B6126"/>
    <w:rsid w:val="002B7AFC"/>
    <w:rsid w:val="002C1AE5"/>
    <w:rsid w:val="002C1B51"/>
    <w:rsid w:val="002C2361"/>
    <w:rsid w:val="002C53D4"/>
    <w:rsid w:val="002D36DD"/>
    <w:rsid w:val="002D4148"/>
    <w:rsid w:val="002D49FE"/>
    <w:rsid w:val="002D671B"/>
    <w:rsid w:val="002D6E00"/>
    <w:rsid w:val="002D798C"/>
    <w:rsid w:val="002E16FA"/>
    <w:rsid w:val="002E1F60"/>
    <w:rsid w:val="002E21FC"/>
    <w:rsid w:val="002E5494"/>
    <w:rsid w:val="002E5978"/>
    <w:rsid w:val="002E5A5A"/>
    <w:rsid w:val="002F14E8"/>
    <w:rsid w:val="002F2222"/>
    <w:rsid w:val="002F56D2"/>
    <w:rsid w:val="002F6C4F"/>
    <w:rsid w:val="002F6F96"/>
    <w:rsid w:val="002F71FB"/>
    <w:rsid w:val="003013A7"/>
    <w:rsid w:val="003022D5"/>
    <w:rsid w:val="00302AD4"/>
    <w:rsid w:val="0030332E"/>
    <w:rsid w:val="00304465"/>
    <w:rsid w:val="0030523F"/>
    <w:rsid w:val="00306406"/>
    <w:rsid w:val="003066A9"/>
    <w:rsid w:val="003075FA"/>
    <w:rsid w:val="00307AB8"/>
    <w:rsid w:val="00310A11"/>
    <w:rsid w:val="003116E8"/>
    <w:rsid w:val="003119AA"/>
    <w:rsid w:val="0031328D"/>
    <w:rsid w:val="0031386A"/>
    <w:rsid w:val="00313C50"/>
    <w:rsid w:val="00314227"/>
    <w:rsid w:val="00314B6E"/>
    <w:rsid w:val="00315630"/>
    <w:rsid w:val="00315BE0"/>
    <w:rsid w:val="0032172C"/>
    <w:rsid w:val="00322C5D"/>
    <w:rsid w:val="003231FA"/>
    <w:rsid w:val="003235EA"/>
    <w:rsid w:val="00324A14"/>
    <w:rsid w:val="00324B0F"/>
    <w:rsid w:val="00324E9A"/>
    <w:rsid w:val="00325693"/>
    <w:rsid w:val="0032601F"/>
    <w:rsid w:val="00327406"/>
    <w:rsid w:val="003274C0"/>
    <w:rsid w:val="003274C6"/>
    <w:rsid w:val="003277AB"/>
    <w:rsid w:val="00331237"/>
    <w:rsid w:val="00333007"/>
    <w:rsid w:val="003358B1"/>
    <w:rsid w:val="00340358"/>
    <w:rsid w:val="00341D2C"/>
    <w:rsid w:val="00343C8B"/>
    <w:rsid w:val="00344432"/>
    <w:rsid w:val="00344826"/>
    <w:rsid w:val="00344A76"/>
    <w:rsid w:val="00344C0C"/>
    <w:rsid w:val="00351C0B"/>
    <w:rsid w:val="00352B32"/>
    <w:rsid w:val="0035317B"/>
    <w:rsid w:val="003534C5"/>
    <w:rsid w:val="0035730F"/>
    <w:rsid w:val="00357FF9"/>
    <w:rsid w:val="0036128C"/>
    <w:rsid w:val="00363F65"/>
    <w:rsid w:val="00364B69"/>
    <w:rsid w:val="00371162"/>
    <w:rsid w:val="00373132"/>
    <w:rsid w:val="00374484"/>
    <w:rsid w:val="00375BFF"/>
    <w:rsid w:val="00380D1B"/>
    <w:rsid w:val="00380D56"/>
    <w:rsid w:val="00380F44"/>
    <w:rsid w:val="0038115C"/>
    <w:rsid w:val="00381667"/>
    <w:rsid w:val="00382617"/>
    <w:rsid w:val="003833DA"/>
    <w:rsid w:val="00385113"/>
    <w:rsid w:val="00385CED"/>
    <w:rsid w:val="00386687"/>
    <w:rsid w:val="00386AAB"/>
    <w:rsid w:val="00386C32"/>
    <w:rsid w:val="0039235B"/>
    <w:rsid w:val="003928BA"/>
    <w:rsid w:val="00393671"/>
    <w:rsid w:val="003945FF"/>
    <w:rsid w:val="00394DDA"/>
    <w:rsid w:val="003952BC"/>
    <w:rsid w:val="003963D1"/>
    <w:rsid w:val="003967E7"/>
    <w:rsid w:val="0039791D"/>
    <w:rsid w:val="00397EEA"/>
    <w:rsid w:val="003A2EE4"/>
    <w:rsid w:val="003A36E4"/>
    <w:rsid w:val="003A5FF1"/>
    <w:rsid w:val="003A76A8"/>
    <w:rsid w:val="003B20CA"/>
    <w:rsid w:val="003B3B37"/>
    <w:rsid w:val="003B4308"/>
    <w:rsid w:val="003B440A"/>
    <w:rsid w:val="003B4EFF"/>
    <w:rsid w:val="003B540F"/>
    <w:rsid w:val="003B58F3"/>
    <w:rsid w:val="003B5B2D"/>
    <w:rsid w:val="003B7770"/>
    <w:rsid w:val="003C057E"/>
    <w:rsid w:val="003C09FF"/>
    <w:rsid w:val="003C111D"/>
    <w:rsid w:val="003C1BFB"/>
    <w:rsid w:val="003C2323"/>
    <w:rsid w:val="003C2523"/>
    <w:rsid w:val="003C2B72"/>
    <w:rsid w:val="003C300F"/>
    <w:rsid w:val="003C532C"/>
    <w:rsid w:val="003C6BCA"/>
    <w:rsid w:val="003D05CD"/>
    <w:rsid w:val="003D31DA"/>
    <w:rsid w:val="003D4115"/>
    <w:rsid w:val="003D42EB"/>
    <w:rsid w:val="003D4E45"/>
    <w:rsid w:val="003D5854"/>
    <w:rsid w:val="003D70DA"/>
    <w:rsid w:val="003D7CED"/>
    <w:rsid w:val="003E1BE5"/>
    <w:rsid w:val="003E2E59"/>
    <w:rsid w:val="003E435E"/>
    <w:rsid w:val="003E544E"/>
    <w:rsid w:val="003E5C73"/>
    <w:rsid w:val="003E670A"/>
    <w:rsid w:val="003E677A"/>
    <w:rsid w:val="003E774D"/>
    <w:rsid w:val="003E78E3"/>
    <w:rsid w:val="003E7CD7"/>
    <w:rsid w:val="003F07CC"/>
    <w:rsid w:val="003F0ED8"/>
    <w:rsid w:val="003F101C"/>
    <w:rsid w:val="003F2293"/>
    <w:rsid w:val="003F2709"/>
    <w:rsid w:val="003F369F"/>
    <w:rsid w:val="003F416A"/>
    <w:rsid w:val="003F433B"/>
    <w:rsid w:val="003F48B6"/>
    <w:rsid w:val="003F682B"/>
    <w:rsid w:val="003F718B"/>
    <w:rsid w:val="00400085"/>
    <w:rsid w:val="004004AD"/>
    <w:rsid w:val="004029C4"/>
    <w:rsid w:val="00402B27"/>
    <w:rsid w:val="00402D45"/>
    <w:rsid w:val="004045D2"/>
    <w:rsid w:val="00405305"/>
    <w:rsid w:val="00406332"/>
    <w:rsid w:val="004067FC"/>
    <w:rsid w:val="0041212A"/>
    <w:rsid w:val="00412DBB"/>
    <w:rsid w:val="00413322"/>
    <w:rsid w:val="00414303"/>
    <w:rsid w:val="00415FFC"/>
    <w:rsid w:val="00416447"/>
    <w:rsid w:val="0041650C"/>
    <w:rsid w:val="00417A3D"/>
    <w:rsid w:val="00417D58"/>
    <w:rsid w:val="00422347"/>
    <w:rsid w:val="00423160"/>
    <w:rsid w:val="0042362F"/>
    <w:rsid w:val="00423932"/>
    <w:rsid w:val="00423D59"/>
    <w:rsid w:val="004255B6"/>
    <w:rsid w:val="00425C39"/>
    <w:rsid w:val="00425D4C"/>
    <w:rsid w:val="00426D0E"/>
    <w:rsid w:val="00427983"/>
    <w:rsid w:val="00427D1A"/>
    <w:rsid w:val="00427D77"/>
    <w:rsid w:val="004315AD"/>
    <w:rsid w:val="00432E21"/>
    <w:rsid w:val="00432E8E"/>
    <w:rsid w:val="00434365"/>
    <w:rsid w:val="00434B5B"/>
    <w:rsid w:val="00434E3B"/>
    <w:rsid w:val="0043571E"/>
    <w:rsid w:val="0043617E"/>
    <w:rsid w:val="00441061"/>
    <w:rsid w:val="00442529"/>
    <w:rsid w:val="00443684"/>
    <w:rsid w:val="00444F00"/>
    <w:rsid w:val="0044726E"/>
    <w:rsid w:val="00447C01"/>
    <w:rsid w:val="00453636"/>
    <w:rsid w:val="0045510D"/>
    <w:rsid w:val="00455EAA"/>
    <w:rsid w:val="004578CA"/>
    <w:rsid w:val="0045791F"/>
    <w:rsid w:val="004579A0"/>
    <w:rsid w:val="00457D07"/>
    <w:rsid w:val="00461745"/>
    <w:rsid w:val="00461F1F"/>
    <w:rsid w:val="00463933"/>
    <w:rsid w:val="00464700"/>
    <w:rsid w:val="00467686"/>
    <w:rsid w:val="004677D8"/>
    <w:rsid w:val="004677DD"/>
    <w:rsid w:val="00467ABB"/>
    <w:rsid w:val="00470A20"/>
    <w:rsid w:val="00470C5A"/>
    <w:rsid w:val="004712BC"/>
    <w:rsid w:val="00473306"/>
    <w:rsid w:val="0047475F"/>
    <w:rsid w:val="004747CB"/>
    <w:rsid w:val="00474C60"/>
    <w:rsid w:val="004764A1"/>
    <w:rsid w:val="00476836"/>
    <w:rsid w:val="0047689D"/>
    <w:rsid w:val="00480824"/>
    <w:rsid w:val="004828F5"/>
    <w:rsid w:val="00484F03"/>
    <w:rsid w:val="004865FD"/>
    <w:rsid w:val="00486AC6"/>
    <w:rsid w:val="0049080E"/>
    <w:rsid w:val="0049176D"/>
    <w:rsid w:val="004918BA"/>
    <w:rsid w:val="00492582"/>
    <w:rsid w:val="00493D28"/>
    <w:rsid w:val="00493E5A"/>
    <w:rsid w:val="00493F1B"/>
    <w:rsid w:val="00494D6C"/>
    <w:rsid w:val="00494E20"/>
    <w:rsid w:val="0049508A"/>
    <w:rsid w:val="00496DAF"/>
    <w:rsid w:val="004979F8"/>
    <w:rsid w:val="004A0F25"/>
    <w:rsid w:val="004A1940"/>
    <w:rsid w:val="004A1B7F"/>
    <w:rsid w:val="004A3613"/>
    <w:rsid w:val="004A3749"/>
    <w:rsid w:val="004A4505"/>
    <w:rsid w:val="004A4914"/>
    <w:rsid w:val="004A52DA"/>
    <w:rsid w:val="004A5BED"/>
    <w:rsid w:val="004B05D9"/>
    <w:rsid w:val="004B0B38"/>
    <w:rsid w:val="004B32F4"/>
    <w:rsid w:val="004B3C40"/>
    <w:rsid w:val="004B3FF8"/>
    <w:rsid w:val="004B51E0"/>
    <w:rsid w:val="004B60C7"/>
    <w:rsid w:val="004C04D2"/>
    <w:rsid w:val="004C10C4"/>
    <w:rsid w:val="004C2008"/>
    <w:rsid w:val="004C21BB"/>
    <w:rsid w:val="004C30D8"/>
    <w:rsid w:val="004C4843"/>
    <w:rsid w:val="004C4BD1"/>
    <w:rsid w:val="004C54CE"/>
    <w:rsid w:val="004C5760"/>
    <w:rsid w:val="004C6FDC"/>
    <w:rsid w:val="004C702A"/>
    <w:rsid w:val="004D17B4"/>
    <w:rsid w:val="004D2E4C"/>
    <w:rsid w:val="004D3614"/>
    <w:rsid w:val="004D3A19"/>
    <w:rsid w:val="004D5AE4"/>
    <w:rsid w:val="004D6DCE"/>
    <w:rsid w:val="004D7AFB"/>
    <w:rsid w:val="004E02DE"/>
    <w:rsid w:val="004E09FC"/>
    <w:rsid w:val="004E0EA3"/>
    <w:rsid w:val="004E2367"/>
    <w:rsid w:val="004E3F89"/>
    <w:rsid w:val="004E490E"/>
    <w:rsid w:val="004E4DB4"/>
    <w:rsid w:val="004E56CC"/>
    <w:rsid w:val="004E7E8E"/>
    <w:rsid w:val="004F0A3B"/>
    <w:rsid w:val="004F15DF"/>
    <w:rsid w:val="004F1832"/>
    <w:rsid w:val="004F4B78"/>
    <w:rsid w:val="004F6595"/>
    <w:rsid w:val="004F69E5"/>
    <w:rsid w:val="004F6DF8"/>
    <w:rsid w:val="004F7715"/>
    <w:rsid w:val="00500DE0"/>
    <w:rsid w:val="005018E1"/>
    <w:rsid w:val="00502B34"/>
    <w:rsid w:val="00503E3A"/>
    <w:rsid w:val="00503E4C"/>
    <w:rsid w:val="00503F84"/>
    <w:rsid w:val="005077D2"/>
    <w:rsid w:val="00507827"/>
    <w:rsid w:val="00507B2B"/>
    <w:rsid w:val="00511A29"/>
    <w:rsid w:val="0051494A"/>
    <w:rsid w:val="00520B4A"/>
    <w:rsid w:val="005243E1"/>
    <w:rsid w:val="00524A0D"/>
    <w:rsid w:val="0052579B"/>
    <w:rsid w:val="00526EAA"/>
    <w:rsid w:val="00527FAF"/>
    <w:rsid w:val="00530563"/>
    <w:rsid w:val="00530A85"/>
    <w:rsid w:val="00530AE6"/>
    <w:rsid w:val="0053233D"/>
    <w:rsid w:val="0053237E"/>
    <w:rsid w:val="005356CA"/>
    <w:rsid w:val="00540C9F"/>
    <w:rsid w:val="00540DD5"/>
    <w:rsid w:val="00540DEB"/>
    <w:rsid w:val="00541742"/>
    <w:rsid w:val="00542265"/>
    <w:rsid w:val="00544042"/>
    <w:rsid w:val="00544136"/>
    <w:rsid w:val="005442E4"/>
    <w:rsid w:val="005467E0"/>
    <w:rsid w:val="00546B4F"/>
    <w:rsid w:val="00547496"/>
    <w:rsid w:val="005475AC"/>
    <w:rsid w:val="00550776"/>
    <w:rsid w:val="00551E7E"/>
    <w:rsid w:val="005537A5"/>
    <w:rsid w:val="00554406"/>
    <w:rsid w:val="00554D3F"/>
    <w:rsid w:val="0055596A"/>
    <w:rsid w:val="00557652"/>
    <w:rsid w:val="00557913"/>
    <w:rsid w:val="005604D9"/>
    <w:rsid w:val="0056059B"/>
    <w:rsid w:val="00561195"/>
    <w:rsid w:val="005623F0"/>
    <w:rsid w:val="005627D2"/>
    <w:rsid w:val="00562F44"/>
    <w:rsid w:val="00563FFA"/>
    <w:rsid w:val="00564C1E"/>
    <w:rsid w:val="00564C7A"/>
    <w:rsid w:val="00565AE2"/>
    <w:rsid w:val="00566383"/>
    <w:rsid w:val="00566781"/>
    <w:rsid w:val="0056798E"/>
    <w:rsid w:val="005738BD"/>
    <w:rsid w:val="005745F9"/>
    <w:rsid w:val="00574E28"/>
    <w:rsid w:val="00575DEB"/>
    <w:rsid w:val="00576D5E"/>
    <w:rsid w:val="00580D66"/>
    <w:rsid w:val="00581184"/>
    <w:rsid w:val="005816EC"/>
    <w:rsid w:val="0058280B"/>
    <w:rsid w:val="0058288D"/>
    <w:rsid w:val="005832D6"/>
    <w:rsid w:val="00583CE4"/>
    <w:rsid w:val="00585A28"/>
    <w:rsid w:val="00587B28"/>
    <w:rsid w:val="005905F9"/>
    <w:rsid w:val="00590904"/>
    <w:rsid w:val="00590CA3"/>
    <w:rsid w:val="00591390"/>
    <w:rsid w:val="00591854"/>
    <w:rsid w:val="0059262D"/>
    <w:rsid w:val="00592ADA"/>
    <w:rsid w:val="00593A71"/>
    <w:rsid w:val="00594A1B"/>
    <w:rsid w:val="0059661F"/>
    <w:rsid w:val="00597062"/>
    <w:rsid w:val="005A1167"/>
    <w:rsid w:val="005A193A"/>
    <w:rsid w:val="005A4A23"/>
    <w:rsid w:val="005A57C1"/>
    <w:rsid w:val="005A644A"/>
    <w:rsid w:val="005A6C45"/>
    <w:rsid w:val="005A768F"/>
    <w:rsid w:val="005A76B5"/>
    <w:rsid w:val="005A7947"/>
    <w:rsid w:val="005B6FD1"/>
    <w:rsid w:val="005B7BE0"/>
    <w:rsid w:val="005C06A8"/>
    <w:rsid w:val="005C286E"/>
    <w:rsid w:val="005C3D5D"/>
    <w:rsid w:val="005C3E69"/>
    <w:rsid w:val="005C43CE"/>
    <w:rsid w:val="005C4CEB"/>
    <w:rsid w:val="005C5B10"/>
    <w:rsid w:val="005C774F"/>
    <w:rsid w:val="005C79AA"/>
    <w:rsid w:val="005D2020"/>
    <w:rsid w:val="005D27B1"/>
    <w:rsid w:val="005D2F62"/>
    <w:rsid w:val="005D4A38"/>
    <w:rsid w:val="005D4B21"/>
    <w:rsid w:val="005E1DB0"/>
    <w:rsid w:val="005E2829"/>
    <w:rsid w:val="005E30BE"/>
    <w:rsid w:val="005E31AB"/>
    <w:rsid w:val="005E32EB"/>
    <w:rsid w:val="005E59B2"/>
    <w:rsid w:val="005E62F0"/>
    <w:rsid w:val="005E6E46"/>
    <w:rsid w:val="005F1635"/>
    <w:rsid w:val="005F1CFD"/>
    <w:rsid w:val="005F350D"/>
    <w:rsid w:val="005F5E45"/>
    <w:rsid w:val="005F737E"/>
    <w:rsid w:val="00600DEA"/>
    <w:rsid w:val="006012C1"/>
    <w:rsid w:val="00601605"/>
    <w:rsid w:val="00604C1F"/>
    <w:rsid w:val="006052E9"/>
    <w:rsid w:val="00605B77"/>
    <w:rsid w:val="00606F57"/>
    <w:rsid w:val="00607AF3"/>
    <w:rsid w:val="00610140"/>
    <w:rsid w:val="00611E37"/>
    <w:rsid w:val="00611F03"/>
    <w:rsid w:val="0061201C"/>
    <w:rsid w:val="0061252E"/>
    <w:rsid w:val="006136E5"/>
    <w:rsid w:val="00613D07"/>
    <w:rsid w:val="006156E2"/>
    <w:rsid w:val="006160FD"/>
    <w:rsid w:val="006168B1"/>
    <w:rsid w:val="00617429"/>
    <w:rsid w:val="00617C1C"/>
    <w:rsid w:val="0062080E"/>
    <w:rsid w:val="0062145A"/>
    <w:rsid w:val="00621FC7"/>
    <w:rsid w:val="00622691"/>
    <w:rsid w:val="00623A5C"/>
    <w:rsid w:val="00625073"/>
    <w:rsid w:val="00625A8C"/>
    <w:rsid w:val="00625E88"/>
    <w:rsid w:val="0062657C"/>
    <w:rsid w:val="006312F1"/>
    <w:rsid w:val="006314E0"/>
    <w:rsid w:val="00632827"/>
    <w:rsid w:val="00635514"/>
    <w:rsid w:val="00636CB4"/>
    <w:rsid w:val="00636CFA"/>
    <w:rsid w:val="00637098"/>
    <w:rsid w:val="00637526"/>
    <w:rsid w:val="006377B4"/>
    <w:rsid w:val="00637C7C"/>
    <w:rsid w:val="00641932"/>
    <w:rsid w:val="00645F14"/>
    <w:rsid w:val="0064684B"/>
    <w:rsid w:val="00646F37"/>
    <w:rsid w:val="006473A4"/>
    <w:rsid w:val="00650D49"/>
    <w:rsid w:val="00651AB9"/>
    <w:rsid w:val="00651B2E"/>
    <w:rsid w:val="0065459B"/>
    <w:rsid w:val="00654A5D"/>
    <w:rsid w:val="00655811"/>
    <w:rsid w:val="00655DFB"/>
    <w:rsid w:val="006567E1"/>
    <w:rsid w:val="00657AED"/>
    <w:rsid w:val="00657CC4"/>
    <w:rsid w:val="00660277"/>
    <w:rsid w:val="00660983"/>
    <w:rsid w:val="00660FAC"/>
    <w:rsid w:val="006629FE"/>
    <w:rsid w:val="006632A1"/>
    <w:rsid w:val="006640D1"/>
    <w:rsid w:val="00665973"/>
    <w:rsid w:val="00665B16"/>
    <w:rsid w:val="00665B24"/>
    <w:rsid w:val="00665B7E"/>
    <w:rsid w:val="00666092"/>
    <w:rsid w:val="00666EBF"/>
    <w:rsid w:val="00670CC4"/>
    <w:rsid w:val="0067403C"/>
    <w:rsid w:val="00674EEF"/>
    <w:rsid w:val="006758DA"/>
    <w:rsid w:val="006767D8"/>
    <w:rsid w:val="0068044D"/>
    <w:rsid w:val="00680CF0"/>
    <w:rsid w:val="00685220"/>
    <w:rsid w:val="00687003"/>
    <w:rsid w:val="00690D94"/>
    <w:rsid w:val="006926DD"/>
    <w:rsid w:val="00692DFA"/>
    <w:rsid w:val="0069476E"/>
    <w:rsid w:val="00694AE0"/>
    <w:rsid w:val="0069708E"/>
    <w:rsid w:val="006A3E41"/>
    <w:rsid w:val="006A6C70"/>
    <w:rsid w:val="006A6D6B"/>
    <w:rsid w:val="006A7035"/>
    <w:rsid w:val="006A7E47"/>
    <w:rsid w:val="006B087D"/>
    <w:rsid w:val="006B1F62"/>
    <w:rsid w:val="006B34FD"/>
    <w:rsid w:val="006B4536"/>
    <w:rsid w:val="006B532B"/>
    <w:rsid w:val="006B574F"/>
    <w:rsid w:val="006B5BDE"/>
    <w:rsid w:val="006B6121"/>
    <w:rsid w:val="006B6193"/>
    <w:rsid w:val="006B6A1C"/>
    <w:rsid w:val="006B7A42"/>
    <w:rsid w:val="006B7BB9"/>
    <w:rsid w:val="006C2604"/>
    <w:rsid w:val="006C3A07"/>
    <w:rsid w:val="006C576D"/>
    <w:rsid w:val="006C6252"/>
    <w:rsid w:val="006C6B63"/>
    <w:rsid w:val="006C6FE0"/>
    <w:rsid w:val="006C744E"/>
    <w:rsid w:val="006D3992"/>
    <w:rsid w:val="006D4052"/>
    <w:rsid w:val="006D6429"/>
    <w:rsid w:val="006D6608"/>
    <w:rsid w:val="006D69B8"/>
    <w:rsid w:val="006D7E5B"/>
    <w:rsid w:val="006E016E"/>
    <w:rsid w:val="006E04DF"/>
    <w:rsid w:val="006E13FC"/>
    <w:rsid w:val="006E1C96"/>
    <w:rsid w:val="006E2888"/>
    <w:rsid w:val="006E4BFE"/>
    <w:rsid w:val="006E5DE4"/>
    <w:rsid w:val="006E63B2"/>
    <w:rsid w:val="006F0E85"/>
    <w:rsid w:val="006F129F"/>
    <w:rsid w:val="006F20D4"/>
    <w:rsid w:val="006F2157"/>
    <w:rsid w:val="006F24FB"/>
    <w:rsid w:val="006F2AF9"/>
    <w:rsid w:val="006F48D8"/>
    <w:rsid w:val="006F6C73"/>
    <w:rsid w:val="006F739A"/>
    <w:rsid w:val="006F7E8D"/>
    <w:rsid w:val="0070043F"/>
    <w:rsid w:val="007009B7"/>
    <w:rsid w:val="00700A3B"/>
    <w:rsid w:val="00700FE6"/>
    <w:rsid w:val="007026D8"/>
    <w:rsid w:val="007028C0"/>
    <w:rsid w:val="00702BFA"/>
    <w:rsid w:val="00702D48"/>
    <w:rsid w:val="0070358E"/>
    <w:rsid w:val="00703F0E"/>
    <w:rsid w:val="00704FE3"/>
    <w:rsid w:val="0070536D"/>
    <w:rsid w:val="00705798"/>
    <w:rsid w:val="00706C0D"/>
    <w:rsid w:val="007075B4"/>
    <w:rsid w:val="007078A2"/>
    <w:rsid w:val="00710116"/>
    <w:rsid w:val="00710967"/>
    <w:rsid w:val="00710BDE"/>
    <w:rsid w:val="00711317"/>
    <w:rsid w:val="00711C42"/>
    <w:rsid w:val="00712FDC"/>
    <w:rsid w:val="00713911"/>
    <w:rsid w:val="00713A94"/>
    <w:rsid w:val="00713FE4"/>
    <w:rsid w:val="007159D5"/>
    <w:rsid w:val="00716A5E"/>
    <w:rsid w:val="007173BF"/>
    <w:rsid w:val="00717A5A"/>
    <w:rsid w:val="00717E63"/>
    <w:rsid w:val="00720E7C"/>
    <w:rsid w:val="00722F25"/>
    <w:rsid w:val="00723D23"/>
    <w:rsid w:val="00725D29"/>
    <w:rsid w:val="007270BF"/>
    <w:rsid w:val="0073044F"/>
    <w:rsid w:val="00730756"/>
    <w:rsid w:val="00730BEB"/>
    <w:rsid w:val="00731336"/>
    <w:rsid w:val="00731971"/>
    <w:rsid w:val="007336D0"/>
    <w:rsid w:val="0073383C"/>
    <w:rsid w:val="00733930"/>
    <w:rsid w:val="00733E5E"/>
    <w:rsid w:val="007346BC"/>
    <w:rsid w:val="007367DB"/>
    <w:rsid w:val="00736B69"/>
    <w:rsid w:val="00737164"/>
    <w:rsid w:val="00737BD6"/>
    <w:rsid w:val="007400FD"/>
    <w:rsid w:val="007436EE"/>
    <w:rsid w:val="007445AD"/>
    <w:rsid w:val="00745F78"/>
    <w:rsid w:val="00746654"/>
    <w:rsid w:val="00746970"/>
    <w:rsid w:val="007471FA"/>
    <w:rsid w:val="00747D65"/>
    <w:rsid w:val="0075127F"/>
    <w:rsid w:val="007514FF"/>
    <w:rsid w:val="00751585"/>
    <w:rsid w:val="00751A39"/>
    <w:rsid w:val="00755294"/>
    <w:rsid w:val="007552BD"/>
    <w:rsid w:val="00755B52"/>
    <w:rsid w:val="00756122"/>
    <w:rsid w:val="007579E5"/>
    <w:rsid w:val="00757BC7"/>
    <w:rsid w:val="00761D62"/>
    <w:rsid w:val="00763D3B"/>
    <w:rsid w:val="007643D7"/>
    <w:rsid w:val="00764C58"/>
    <w:rsid w:val="00766F3A"/>
    <w:rsid w:val="00767DF0"/>
    <w:rsid w:val="00770CED"/>
    <w:rsid w:val="0077131E"/>
    <w:rsid w:val="00771328"/>
    <w:rsid w:val="0077244C"/>
    <w:rsid w:val="0077425C"/>
    <w:rsid w:val="0077521E"/>
    <w:rsid w:val="0077558F"/>
    <w:rsid w:val="0077587F"/>
    <w:rsid w:val="00775C13"/>
    <w:rsid w:val="00776713"/>
    <w:rsid w:val="00776BB8"/>
    <w:rsid w:val="00776FEF"/>
    <w:rsid w:val="00776FF0"/>
    <w:rsid w:val="00777076"/>
    <w:rsid w:val="00777534"/>
    <w:rsid w:val="007809B3"/>
    <w:rsid w:val="007815F5"/>
    <w:rsid w:val="00783F04"/>
    <w:rsid w:val="00784BF1"/>
    <w:rsid w:val="00784EB7"/>
    <w:rsid w:val="00784ECC"/>
    <w:rsid w:val="00787835"/>
    <w:rsid w:val="007909D2"/>
    <w:rsid w:val="0079152B"/>
    <w:rsid w:val="00792C95"/>
    <w:rsid w:val="0079430C"/>
    <w:rsid w:val="0079566D"/>
    <w:rsid w:val="00795AA6"/>
    <w:rsid w:val="007968F1"/>
    <w:rsid w:val="00796F81"/>
    <w:rsid w:val="00797D28"/>
    <w:rsid w:val="00797F8B"/>
    <w:rsid w:val="007A0BE3"/>
    <w:rsid w:val="007A2C88"/>
    <w:rsid w:val="007A2D03"/>
    <w:rsid w:val="007A41BC"/>
    <w:rsid w:val="007A78E4"/>
    <w:rsid w:val="007A7987"/>
    <w:rsid w:val="007A7F53"/>
    <w:rsid w:val="007B0CF2"/>
    <w:rsid w:val="007B0F7E"/>
    <w:rsid w:val="007B3044"/>
    <w:rsid w:val="007B3A4A"/>
    <w:rsid w:val="007B3C56"/>
    <w:rsid w:val="007B3F9B"/>
    <w:rsid w:val="007B6108"/>
    <w:rsid w:val="007B64E1"/>
    <w:rsid w:val="007B7BBF"/>
    <w:rsid w:val="007C013C"/>
    <w:rsid w:val="007C0674"/>
    <w:rsid w:val="007C0A9D"/>
    <w:rsid w:val="007C0CE1"/>
    <w:rsid w:val="007C2C41"/>
    <w:rsid w:val="007C3EA7"/>
    <w:rsid w:val="007C6CCD"/>
    <w:rsid w:val="007C7931"/>
    <w:rsid w:val="007D0347"/>
    <w:rsid w:val="007D0484"/>
    <w:rsid w:val="007D1188"/>
    <w:rsid w:val="007D19B6"/>
    <w:rsid w:val="007D1A9D"/>
    <w:rsid w:val="007D20EF"/>
    <w:rsid w:val="007D4439"/>
    <w:rsid w:val="007D462E"/>
    <w:rsid w:val="007D4FD4"/>
    <w:rsid w:val="007D61FB"/>
    <w:rsid w:val="007D6855"/>
    <w:rsid w:val="007E00DD"/>
    <w:rsid w:val="007E230E"/>
    <w:rsid w:val="007E291E"/>
    <w:rsid w:val="007E2B9F"/>
    <w:rsid w:val="007E51B1"/>
    <w:rsid w:val="007E574E"/>
    <w:rsid w:val="007E6462"/>
    <w:rsid w:val="007E74CF"/>
    <w:rsid w:val="007E7DB5"/>
    <w:rsid w:val="007F029C"/>
    <w:rsid w:val="007F1997"/>
    <w:rsid w:val="007F1F5B"/>
    <w:rsid w:val="007F2522"/>
    <w:rsid w:val="007F3BA5"/>
    <w:rsid w:val="007F4CEC"/>
    <w:rsid w:val="007F4F08"/>
    <w:rsid w:val="007F546A"/>
    <w:rsid w:val="007F6314"/>
    <w:rsid w:val="00800384"/>
    <w:rsid w:val="008008FA"/>
    <w:rsid w:val="00801638"/>
    <w:rsid w:val="00801791"/>
    <w:rsid w:val="00802883"/>
    <w:rsid w:val="00804A80"/>
    <w:rsid w:val="00805090"/>
    <w:rsid w:val="008056FF"/>
    <w:rsid w:val="00807587"/>
    <w:rsid w:val="00810026"/>
    <w:rsid w:val="008101CE"/>
    <w:rsid w:val="00810244"/>
    <w:rsid w:val="0081091A"/>
    <w:rsid w:val="008117A0"/>
    <w:rsid w:val="008118E2"/>
    <w:rsid w:val="008131B4"/>
    <w:rsid w:val="00814079"/>
    <w:rsid w:val="0081424E"/>
    <w:rsid w:val="00814946"/>
    <w:rsid w:val="00814EA9"/>
    <w:rsid w:val="008150EA"/>
    <w:rsid w:val="0082020E"/>
    <w:rsid w:val="008203DF"/>
    <w:rsid w:val="008203E8"/>
    <w:rsid w:val="008232D3"/>
    <w:rsid w:val="008255A8"/>
    <w:rsid w:val="00826BF7"/>
    <w:rsid w:val="0082702D"/>
    <w:rsid w:val="00827BC0"/>
    <w:rsid w:val="0083242A"/>
    <w:rsid w:val="0083268F"/>
    <w:rsid w:val="008330F8"/>
    <w:rsid w:val="00833899"/>
    <w:rsid w:val="00833FB2"/>
    <w:rsid w:val="00834A3E"/>
    <w:rsid w:val="00834F36"/>
    <w:rsid w:val="00835664"/>
    <w:rsid w:val="0084071E"/>
    <w:rsid w:val="00841BE2"/>
    <w:rsid w:val="00841DB3"/>
    <w:rsid w:val="00843110"/>
    <w:rsid w:val="0084357F"/>
    <w:rsid w:val="008458B1"/>
    <w:rsid w:val="00850A4D"/>
    <w:rsid w:val="00850D00"/>
    <w:rsid w:val="00851243"/>
    <w:rsid w:val="00852C28"/>
    <w:rsid w:val="00853B00"/>
    <w:rsid w:val="00853D69"/>
    <w:rsid w:val="008607F2"/>
    <w:rsid w:val="00860F7D"/>
    <w:rsid w:val="00861BEC"/>
    <w:rsid w:val="0086365B"/>
    <w:rsid w:val="00863A31"/>
    <w:rsid w:val="00864260"/>
    <w:rsid w:val="00864456"/>
    <w:rsid w:val="00864AAC"/>
    <w:rsid w:val="00865D4A"/>
    <w:rsid w:val="008660F6"/>
    <w:rsid w:val="00866237"/>
    <w:rsid w:val="008701D0"/>
    <w:rsid w:val="00871CB0"/>
    <w:rsid w:val="008722A8"/>
    <w:rsid w:val="00873803"/>
    <w:rsid w:val="00874AB4"/>
    <w:rsid w:val="00875562"/>
    <w:rsid w:val="0087598C"/>
    <w:rsid w:val="00876EB5"/>
    <w:rsid w:val="008771D5"/>
    <w:rsid w:val="00880978"/>
    <w:rsid w:val="00881B72"/>
    <w:rsid w:val="008826E7"/>
    <w:rsid w:val="00882D1A"/>
    <w:rsid w:val="0088445B"/>
    <w:rsid w:val="00884881"/>
    <w:rsid w:val="00885A71"/>
    <w:rsid w:val="00890878"/>
    <w:rsid w:val="0089259B"/>
    <w:rsid w:val="00894929"/>
    <w:rsid w:val="008949F4"/>
    <w:rsid w:val="008A04DD"/>
    <w:rsid w:val="008A1A8E"/>
    <w:rsid w:val="008A1D39"/>
    <w:rsid w:val="008A1DBB"/>
    <w:rsid w:val="008A2D22"/>
    <w:rsid w:val="008A372F"/>
    <w:rsid w:val="008A38A0"/>
    <w:rsid w:val="008A55E3"/>
    <w:rsid w:val="008A5AB5"/>
    <w:rsid w:val="008A6D50"/>
    <w:rsid w:val="008A6FC9"/>
    <w:rsid w:val="008B290F"/>
    <w:rsid w:val="008B2D51"/>
    <w:rsid w:val="008B3E29"/>
    <w:rsid w:val="008B3FAD"/>
    <w:rsid w:val="008B4331"/>
    <w:rsid w:val="008B469E"/>
    <w:rsid w:val="008B643C"/>
    <w:rsid w:val="008B6FE3"/>
    <w:rsid w:val="008B7458"/>
    <w:rsid w:val="008C13C8"/>
    <w:rsid w:val="008C14E3"/>
    <w:rsid w:val="008C1A5D"/>
    <w:rsid w:val="008C2D18"/>
    <w:rsid w:val="008C2F9D"/>
    <w:rsid w:val="008C35EA"/>
    <w:rsid w:val="008C3FCB"/>
    <w:rsid w:val="008C46AA"/>
    <w:rsid w:val="008C488A"/>
    <w:rsid w:val="008C6ED0"/>
    <w:rsid w:val="008C705F"/>
    <w:rsid w:val="008D075C"/>
    <w:rsid w:val="008D5AFD"/>
    <w:rsid w:val="008D6288"/>
    <w:rsid w:val="008E1C5B"/>
    <w:rsid w:val="008E1D07"/>
    <w:rsid w:val="008E24C8"/>
    <w:rsid w:val="008E28EB"/>
    <w:rsid w:val="008E3B94"/>
    <w:rsid w:val="008E3CBE"/>
    <w:rsid w:val="008E4989"/>
    <w:rsid w:val="008E4E8E"/>
    <w:rsid w:val="008E5E69"/>
    <w:rsid w:val="008E6324"/>
    <w:rsid w:val="008F2E9B"/>
    <w:rsid w:val="008F32BE"/>
    <w:rsid w:val="008F3313"/>
    <w:rsid w:val="008F5533"/>
    <w:rsid w:val="00901DB5"/>
    <w:rsid w:val="00902B3A"/>
    <w:rsid w:val="00902DB4"/>
    <w:rsid w:val="00903ACC"/>
    <w:rsid w:val="00903EF0"/>
    <w:rsid w:val="00905C3D"/>
    <w:rsid w:val="00911D29"/>
    <w:rsid w:val="00912638"/>
    <w:rsid w:val="00912C63"/>
    <w:rsid w:val="00913459"/>
    <w:rsid w:val="009148C0"/>
    <w:rsid w:val="00920828"/>
    <w:rsid w:val="00921B14"/>
    <w:rsid w:val="00921BD5"/>
    <w:rsid w:val="0092247D"/>
    <w:rsid w:val="009254E5"/>
    <w:rsid w:val="0092633C"/>
    <w:rsid w:val="00926B4A"/>
    <w:rsid w:val="0092765D"/>
    <w:rsid w:val="00927F5A"/>
    <w:rsid w:val="00930790"/>
    <w:rsid w:val="00930980"/>
    <w:rsid w:val="00931D13"/>
    <w:rsid w:val="00931EBD"/>
    <w:rsid w:val="00932A53"/>
    <w:rsid w:val="009330A9"/>
    <w:rsid w:val="00934DE8"/>
    <w:rsid w:val="00935809"/>
    <w:rsid w:val="00935AAA"/>
    <w:rsid w:val="00935C61"/>
    <w:rsid w:val="009361DE"/>
    <w:rsid w:val="00945D01"/>
    <w:rsid w:val="0094752C"/>
    <w:rsid w:val="00947EF7"/>
    <w:rsid w:val="00950344"/>
    <w:rsid w:val="009520AD"/>
    <w:rsid w:val="00952449"/>
    <w:rsid w:val="00954DD8"/>
    <w:rsid w:val="00955A5B"/>
    <w:rsid w:val="009565FB"/>
    <w:rsid w:val="00957ADA"/>
    <w:rsid w:val="00957B0E"/>
    <w:rsid w:val="009602EB"/>
    <w:rsid w:val="00960A8C"/>
    <w:rsid w:val="009616FB"/>
    <w:rsid w:val="00961B42"/>
    <w:rsid w:val="009633B3"/>
    <w:rsid w:val="00965BC6"/>
    <w:rsid w:val="00967A81"/>
    <w:rsid w:val="00973822"/>
    <w:rsid w:val="009749A1"/>
    <w:rsid w:val="0097512E"/>
    <w:rsid w:val="009751CE"/>
    <w:rsid w:val="009757E9"/>
    <w:rsid w:val="009761C0"/>
    <w:rsid w:val="00976726"/>
    <w:rsid w:val="00977E51"/>
    <w:rsid w:val="00981C02"/>
    <w:rsid w:val="009820C2"/>
    <w:rsid w:val="009826E2"/>
    <w:rsid w:val="009845A4"/>
    <w:rsid w:val="00984900"/>
    <w:rsid w:val="009854E1"/>
    <w:rsid w:val="00985C19"/>
    <w:rsid w:val="00985C76"/>
    <w:rsid w:val="00986543"/>
    <w:rsid w:val="009901DC"/>
    <w:rsid w:val="009909A4"/>
    <w:rsid w:val="00992C5B"/>
    <w:rsid w:val="00993F27"/>
    <w:rsid w:val="00995545"/>
    <w:rsid w:val="0099591A"/>
    <w:rsid w:val="00996724"/>
    <w:rsid w:val="00996F5A"/>
    <w:rsid w:val="00997059"/>
    <w:rsid w:val="009A088A"/>
    <w:rsid w:val="009A0F79"/>
    <w:rsid w:val="009A1A28"/>
    <w:rsid w:val="009A1C04"/>
    <w:rsid w:val="009A1CA3"/>
    <w:rsid w:val="009A20B8"/>
    <w:rsid w:val="009A2574"/>
    <w:rsid w:val="009A3F9C"/>
    <w:rsid w:val="009A40D3"/>
    <w:rsid w:val="009A5067"/>
    <w:rsid w:val="009A77CD"/>
    <w:rsid w:val="009B0D08"/>
    <w:rsid w:val="009B1EE6"/>
    <w:rsid w:val="009B214D"/>
    <w:rsid w:val="009B217E"/>
    <w:rsid w:val="009B30E3"/>
    <w:rsid w:val="009B34AB"/>
    <w:rsid w:val="009B3B93"/>
    <w:rsid w:val="009B4C11"/>
    <w:rsid w:val="009B5044"/>
    <w:rsid w:val="009B50B8"/>
    <w:rsid w:val="009B6AA3"/>
    <w:rsid w:val="009B718C"/>
    <w:rsid w:val="009C1DE5"/>
    <w:rsid w:val="009C20BE"/>
    <w:rsid w:val="009C3BC2"/>
    <w:rsid w:val="009C4107"/>
    <w:rsid w:val="009C6327"/>
    <w:rsid w:val="009C68DE"/>
    <w:rsid w:val="009C6B83"/>
    <w:rsid w:val="009C71A7"/>
    <w:rsid w:val="009D1599"/>
    <w:rsid w:val="009D311B"/>
    <w:rsid w:val="009D3BFA"/>
    <w:rsid w:val="009D4158"/>
    <w:rsid w:val="009D6451"/>
    <w:rsid w:val="009D7349"/>
    <w:rsid w:val="009D7819"/>
    <w:rsid w:val="009D7950"/>
    <w:rsid w:val="009D7982"/>
    <w:rsid w:val="009E0264"/>
    <w:rsid w:val="009E0CA9"/>
    <w:rsid w:val="009E2EFB"/>
    <w:rsid w:val="009E3C8D"/>
    <w:rsid w:val="009E51FE"/>
    <w:rsid w:val="009F0C4D"/>
    <w:rsid w:val="009F1413"/>
    <w:rsid w:val="009F42B1"/>
    <w:rsid w:val="009F6C19"/>
    <w:rsid w:val="009F77C2"/>
    <w:rsid w:val="009F7B1F"/>
    <w:rsid w:val="00A00D58"/>
    <w:rsid w:val="00A01728"/>
    <w:rsid w:val="00A02C50"/>
    <w:rsid w:val="00A02CEB"/>
    <w:rsid w:val="00A03250"/>
    <w:rsid w:val="00A04415"/>
    <w:rsid w:val="00A059DE"/>
    <w:rsid w:val="00A078B9"/>
    <w:rsid w:val="00A07A29"/>
    <w:rsid w:val="00A10826"/>
    <w:rsid w:val="00A121E9"/>
    <w:rsid w:val="00A122FF"/>
    <w:rsid w:val="00A1388A"/>
    <w:rsid w:val="00A143AA"/>
    <w:rsid w:val="00A146A1"/>
    <w:rsid w:val="00A14C4F"/>
    <w:rsid w:val="00A16125"/>
    <w:rsid w:val="00A1646B"/>
    <w:rsid w:val="00A171CE"/>
    <w:rsid w:val="00A17300"/>
    <w:rsid w:val="00A17739"/>
    <w:rsid w:val="00A207BC"/>
    <w:rsid w:val="00A210A1"/>
    <w:rsid w:val="00A225E2"/>
    <w:rsid w:val="00A229C4"/>
    <w:rsid w:val="00A23A5D"/>
    <w:rsid w:val="00A2413E"/>
    <w:rsid w:val="00A241B5"/>
    <w:rsid w:val="00A24643"/>
    <w:rsid w:val="00A2522F"/>
    <w:rsid w:val="00A2656F"/>
    <w:rsid w:val="00A30DD4"/>
    <w:rsid w:val="00A32118"/>
    <w:rsid w:val="00A32559"/>
    <w:rsid w:val="00A35D13"/>
    <w:rsid w:val="00A3705F"/>
    <w:rsid w:val="00A37E61"/>
    <w:rsid w:val="00A40C00"/>
    <w:rsid w:val="00A41228"/>
    <w:rsid w:val="00A415BD"/>
    <w:rsid w:val="00A41A9B"/>
    <w:rsid w:val="00A42172"/>
    <w:rsid w:val="00A422EE"/>
    <w:rsid w:val="00A42C17"/>
    <w:rsid w:val="00A436B3"/>
    <w:rsid w:val="00A43D40"/>
    <w:rsid w:val="00A44C28"/>
    <w:rsid w:val="00A45C5B"/>
    <w:rsid w:val="00A45D77"/>
    <w:rsid w:val="00A46885"/>
    <w:rsid w:val="00A479F1"/>
    <w:rsid w:val="00A50595"/>
    <w:rsid w:val="00A509B0"/>
    <w:rsid w:val="00A50AB4"/>
    <w:rsid w:val="00A51053"/>
    <w:rsid w:val="00A51827"/>
    <w:rsid w:val="00A53233"/>
    <w:rsid w:val="00A55DC1"/>
    <w:rsid w:val="00A60492"/>
    <w:rsid w:val="00A6184C"/>
    <w:rsid w:val="00A62294"/>
    <w:rsid w:val="00A628CF"/>
    <w:rsid w:val="00A62E5D"/>
    <w:rsid w:val="00A64F06"/>
    <w:rsid w:val="00A651B7"/>
    <w:rsid w:val="00A702E9"/>
    <w:rsid w:val="00A7191F"/>
    <w:rsid w:val="00A72526"/>
    <w:rsid w:val="00A806B1"/>
    <w:rsid w:val="00A808AA"/>
    <w:rsid w:val="00A80F57"/>
    <w:rsid w:val="00A83195"/>
    <w:rsid w:val="00A842E0"/>
    <w:rsid w:val="00A849D5"/>
    <w:rsid w:val="00A84CF8"/>
    <w:rsid w:val="00A85A5F"/>
    <w:rsid w:val="00A86101"/>
    <w:rsid w:val="00A86151"/>
    <w:rsid w:val="00A90762"/>
    <w:rsid w:val="00A90C3A"/>
    <w:rsid w:val="00A920A1"/>
    <w:rsid w:val="00A927DD"/>
    <w:rsid w:val="00A92F4C"/>
    <w:rsid w:val="00A92FA5"/>
    <w:rsid w:val="00A954F8"/>
    <w:rsid w:val="00A956A3"/>
    <w:rsid w:val="00A95896"/>
    <w:rsid w:val="00A95A62"/>
    <w:rsid w:val="00A96F34"/>
    <w:rsid w:val="00A97838"/>
    <w:rsid w:val="00AA0CBD"/>
    <w:rsid w:val="00AA0DD2"/>
    <w:rsid w:val="00AA1415"/>
    <w:rsid w:val="00AA1C18"/>
    <w:rsid w:val="00AA1D57"/>
    <w:rsid w:val="00AA293B"/>
    <w:rsid w:val="00AA39B5"/>
    <w:rsid w:val="00AA3D9B"/>
    <w:rsid w:val="00AA45DA"/>
    <w:rsid w:val="00AA61BB"/>
    <w:rsid w:val="00AA6861"/>
    <w:rsid w:val="00AA7024"/>
    <w:rsid w:val="00AB129E"/>
    <w:rsid w:val="00AB26A6"/>
    <w:rsid w:val="00AB2760"/>
    <w:rsid w:val="00AB5CBD"/>
    <w:rsid w:val="00AC025E"/>
    <w:rsid w:val="00AC0904"/>
    <w:rsid w:val="00AC1BE5"/>
    <w:rsid w:val="00AC57CB"/>
    <w:rsid w:val="00AC5BDD"/>
    <w:rsid w:val="00AC6CD6"/>
    <w:rsid w:val="00AD06C5"/>
    <w:rsid w:val="00AD0FAF"/>
    <w:rsid w:val="00AD3E5D"/>
    <w:rsid w:val="00AD40F0"/>
    <w:rsid w:val="00AD5457"/>
    <w:rsid w:val="00AD71BB"/>
    <w:rsid w:val="00AD7FF8"/>
    <w:rsid w:val="00AE0055"/>
    <w:rsid w:val="00AE2CEC"/>
    <w:rsid w:val="00AE3047"/>
    <w:rsid w:val="00AE367F"/>
    <w:rsid w:val="00AE5113"/>
    <w:rsid w:val="00AE59D9"/>
    <w:rsid w:val="00AE65CD"/>
    <w:rsid w:val="00AF1AD2"/>
    <w:rsid w:val="00AF5479"/>
    <w:rsid w:val="00AF62A4"/>
    <w:rsid w:val="00AF69AA"/>
    <w:rsid w:val="00B001E7"/>
    <w:rsid w:val="00B013B0"/>
    <w:rsid w:val="00B02E79"/>
    <w:rsid w:val="00B03177"/>
    <w:rsid w:val="00B04865"/>
    <w:rsid w:val="00B0560C"/>
    <w:rsid w:val="00B05C76"/>
    <w:rsid w:val="00B05CD0"/>
    <w:rsid w:val="00B05E3A"/>
    <w:rsid w:val="00B061FF"/>
    <w:rsid w:val="00B06941"/>
    <w:rsid w:val="00B07B73"/>
    <w:rsid w:val="00B1162D"/>
    <w:rsid w:val="00B117A7"/>
    <w:rsid w:val="00B11BF0"/>
    <w:rsid w:val="00B14B4A"/>
    <w:rsid w:val="00B16C5E"/>
    <w:rsid w:val="00B16DC2"/>
    <w:rsid w:val="00B1770B"/>
    <w:rsid w:val="00B1794E"/>
    <w:rsid w:val="00B209A8"/>
    <w:rsid w:val="00B22498"/>
    <w:rsid w:val="00B241DD"/>
    <w:rsid w:val="00B2676A"/>
    <w:rsid w:val="00B274AD"/>
    <w:rsid w:val="00B27AD1"/>
    <w:rsid w:val="00B27B2B"/>
    <w:rsid w:val="00B30EF0"/>
    <w:rsid w:val="00B320E3"/>
    <w:rsid w:val="00B358E8"/>
    <w:rsid w:val="00B35F4D"/>
    <w:rsid w:val="00B3610E"/>
    <w:rsid w:val="00B36387"/>
    <w:rsid w:val="00B369C1"/>
    <w:rsid w:val="00B40F42"/>
    <w:rsid w:val="00B41B99"/>
    <w:rsid w:val="00B427B7"/>
    <w:rsid w:val="00B43539"/>
    <w:rsid w:val="00B43825"/>
    <w:rsid w:val="00B44F45"/>
    <w:rsid w:val="00B450D9"/>
    <w:rsid w:val="00B45349"/>
    <w:rsid w:val="00B46279"/>
    <w:rsid w:val="00B463A8"/>
    <w:rsid w:val="00B4779B"/>
    <w:rsid w:val="00B50F96"/>
    <w:rsid w:val="00B5342A"/>
    <w:rsid w:val="00B53526"/>
    <w:rsid w:val="00B54BDE"/>
    <w:rsid w:val="00B550A0"/>
    <w:rsid w:val="00B55C9E"/>
    <w:rsid w:val="00B56CC0"/>
    <w:rsid w:val="00B56DE8"/>
    <w:rsid w:val="00B577C9"/>
    <w:rsid w:val="00B62C5F"/>
    <w:rsid w:val="00B64E3E"/>
    <w:rsid w:val="00B65421"/>
    <w:rsid w:val="00B70BF6"/>
    <w:rsid w:val="00B75110"/>
    <w:rsid w:val="00B756B1"/>
    <w:rsid w:val="00B76762"/>
    <w:rsid w:val="00B76EF0"/>
    <w:rsid w:val="00B77954"/>
    <w:rsid w:val="00B8063F"/>
    <w:rsid w:val="00B81048"/>
    <w:rsid w:val="00B81279"/>
    <w:rsid w:val="00B822F6"/>
    <w:rsid w:val="00B82CD8"/>
    <w:rsid w:val="00B82DC2"/>
    <w:rsid w:val="00B835D1"/>
    <w:rsid w:val="00B841FA"/>
    <w:rsid w:val="00B879DF"/>
    <w:rsid w:val="00B87C1E"/>
    <w:rsid w:val="00B93702"/>
    <w:rsid w:val="00B93ED0"/>
    <w:rsid w:val="00B94D25"/>
    <w:rsid w:val="00B96468"/>
    <w:rsid w:val="00B96AE5"/>
    <w:rsid w:val="00B97C3C"/>
    <w:rsid w:val="00BA0281"/>
    <w:rsid w:val="00BA04D3"/>
    <w:rsid w:val="00BA1656"/>
    <w:rsid w:val="00BA371C"/>
    <w:rsid w:val="00BA4E90"/>
    <w:rsid w:val="00BB0597"/>
    <w:rsid w:val="00BB05BD"/>
    <w:rsid w:val="00BB0FA9"/>
    <w:rsid w:val="00BB2394"/>
    <w:rsid w:val="00BB3AC9"/>
    <w:rsid w:val="00BB3DBF"/>
    <w:rsid w:val="00BB41D3"/>
    <w:rsid w:val="00BB78E7"/>
    <w:rsid w:val="00BC06E8"/>
    <w:rsid w:val="00BC0D34"/>
    <w:rsid w:val="00BC1A44"/>
    <w:rsid w:val="00BC29A3"/>
    <w:rsid w:val="00BC36A6"/>
    <w:rsid w:val="00BC3F17"/>
    <w:rsid w:val="00BD022A"/>
    <w:rsid w:val="00BD0456"/>
    <w:rsid w:val="00BD25EB"/>
    <w:rsid w:val="00BD5057"/>
    <w:rsid w:val="00BD5AC0"/>
    <w:rsid w:val="00BD6507"/>
    <w:rsid w:val="00BD72CD"/>
    <w:rsid w:val="00BE3440"/>
    <w:rsid w:val="00BE3A1B"/>
    <w:rsid w:val="00BE5557"/>
    <w:rsid w:val="00BE5C6D"/>
    <w:rsid w:val="00BE77E1"/>
    <w:rsid w:val="00BF07A5"/>
    <w:rsid w:val="00BF5940"/>
    <w:rsid w:val="00BF5C83"/>
    <w:rsid w:val="00BF652A"/>
    <w:rsid w:val="00C00288"/>
    <w:rsid w:val="00C0031E"/>
    <w:rsid w:val="00C021BC"/>
    <w:rsid w:val="00C04F84"/>
    <w:rsid w:val="00C0648A"/>
    <w:rsid w:val="00C06C67"/>
    <w:rsid w:val="00C070A0"/>
    <w:rsid w:val="00C07A1A"/>
    <w:rsid w:val="00C10244"/>
    <w:rsid w:val="00C11434"/>
    <w:rsid w:val="00C11609"/>
    <w:rsid w:val="00C116D5"/>
    <w:rsid w:val="00C12D07"/>
    <w:rsid w:val="00C138D0"/>
    <w:rsid w:val="00C13E7C"/>
    <w:rsid w:val="00C1417C"/>
    <w:rsid w:val="00C16DD0"/>
    <w:rsid w:val="00C17DE1"/>
    <w:rsid w:val="00C20375"/>
    <w:rsid w:val="00C21124"/>
    <w:rsid w:val="00C211AA"/>
    <w:rsid w:val="00C21234"/>
    <w:rsid w:val="00C2129B"/>
    <w:rsid w:val="00C21787"/>
    <w:rsid w:val="00C21CC1"/>
    <w:rsid w:val="00C21FE3"/>
    <w:rsid w:val="00C22751"/>
    <w:rsid w:val="00C22814"/>
    <w:rsid w:val="00C22E2F"/>
    <w:rsid w:val="00C266C6"/>
    <w:rsid w:val="00C26776"/>
    <w:rsid w:val="00C273BF"/>
    <w:rsid w:val="00C27502"/>
    <w:rsid w:val="00C27606"/>
    <w:rsid w:val="00C31676"/>
    <w:rsid w:val="00C319CD"/>
    <w:rsid w:val="00C31CEB"/>
    <w:rsid w:val="00C3328B"/>
    <w:rsid w:val="00C358F0"/>
    <w:rsid w:val="00C36363"/>
    <w:rsid w:val="00C37751"/>
    <w:rsid w:val="00C40298"/>
    <w:rsid w:val="00C42103"/>
    <w:rsid w:val="00C43B6A"/>
    <w:rsid w:val="00C43C7B"/>
    <w:rsid w:val="00C43EF9"/>
    <w:rsid w:val="00C505AC"/>
    <w:rsid w:val="00C529B7"/>
    <w:rsid w:val="00C52BB8"/>
    <w:rsid w:val="00C578E2"/>
    <w:rsid w:val="00C60E11"/>
    <w:rsid w:val="00C61144"/>
    <w:rsid w:val="00C629F6"/>
    <w:rsid w:val="00C62F1A"/>
    <w:rsid w:val="00C63143"/>
    <w:rsid w:val="00C639FC"/>
    <w:rsid w:val="00C643E1"/>
    <w:rsid w:val="00C6636C"/>
    <w:rsid w:val="00C66911"/>
    <w:rsid w:val="00C66D26"/>
    <w:rsid w:val="00C6739C"/>
    <w:rsid w:val="00C70FC1"/>
    <w:rsid w:val="00C7250C"/>
    <w:rsid w:val="00C72A14"/>
    <w:rsid w:val="00C7481E"/>
    <w:rsid w:val="00C75B2F"/>
    <w:rsid w:val="00C760BF"/>
    <w:rsid w:val="00C76197"/>
    <w:rsid w:val="00C80E93"/>
    <w:rsid w:val="00C85088"/>
    <w:rsid w:val="00C858D7"/>
    <w:rsid w:val="00C862A2"/>
    <w:rsid w:val="00C86555"/>
    <w:rsid w:val="00C927BE"/>
    <w:rsid w:val="00C9433E"/>
    <w:rsid w:val="00C951B8"/>
    <w:rsid w:val="00C9602D"/>
    <w:rsid w:val="00C96B9D"/>
    <w:rsid w:val="00C9707F"/>
    <w:rsid w:val="00CA040E"/>
    <w:rsid w:val="00CA0E8A"/>
    <w:rsid w:val="00CA12C6"/>
    <w:rsid w:val="00CA204A"/>
    <w:rsid w:val="00CA243C"/>
    <w:rsid w:val="00CA4EC0"/>
    <w:rsid w:val="00CA757E"/>
    <w:rsid w:val="00CA79F4"/>
    <w:rsid w:val="00CB0128"/>
    <w:rsid w:val="00CB098E"/>
    <w:rsid w:val="00CB0BFC"/>
    <w:rsid w:val="00CB1A65"/>
    <w:rsid w:val="00CB218E"/>
    <w:rsid w:val="00CB23B3"/>
    <w:rsid w:val="00CB5CF0"/>
    <w:rsid w:val="00CB74B5"/>
    <w:rsid w:val="00CC0BC9"/>
    <w:rsid w:val="00CC0EA4"/>
    <w:rsid w:val="00CC188A"/>
    <w:rsid w:val="00CC3901"/>
    <w:rsid w:val="00CC4331"/>
    <w:rsid w:val="00CC5861"/>
    <w:rsid w:val="00CC5C64"/>
    <w:rsid w:val="00CC5EC3"/>
    <w:rsid w:val="00CC6207"/>
    <w:rsid w:val="00CC6A45"/>
    <w:rsid w:val="00CD12EE"/>
    <w:rsid w:val="00CD153B"/>
    <w:rsid w:val="00CD1B78"/>
    <w:rsid w:val="00CD1E53"/>
    <w:rsid w:val="00CD3C30"/>
    <w:rsid w:val="00CD478F"/>
    <w:rsid w:val="00CD4AD3"/>
    <w:rsid w:val="00CD4D4C"/>
    <w:rsid w:val="00CD52EA"/>
    <w:rsid w:val="00CD5ABD"/>
    <w:rsid w:val="00CD6715"/>
    <w:rsid w:val="00CD6CCC"/>
    <w:rsid w:val="00CE054D"/>
    <w:rsid w:val="00CE1C10"/>
    <w:rsid w:val="00CE22FA"/>
    <w:rsid w:val="00CE2FD7"/>
    <w:rsid w:val="00CE318D"/>
    <w:rsid w:val="00CE334B"/>
    <w:rsid w:val="00CE4030"/>
    <w:rsid w:val="00CE4386"/>
    <w:rsid w:val="00CE4527"/>
    <w:rsid w:val="00CE4B7C"/>
    <w:rsid w:val="00CE575C"/>
    <w:rsid w:val="00CE6210"/>
    <w:rsid w:val="00CE7D37"/>
    <w:rsid w:val="00CF0C41"/>
    <w:rsid w:val="00CF145D"/>
    <w:rsid w:val="00CF265F"/>
    <w:rsid w:val="00CF3E3A"/>
    <w:rsid w:val="00CF484C"/>
    <w:rsid w:val="00D002A4"/>
    <w:rsid w:val="00D0063F"/>
    <w:rsid w:val="00D0077F"/>
    <w:rsid w:val="00D01706"/>
    <w:rsid w:val="00D02CC7"/>
    <w:rsid w:val="00D04184"/>
    <w:rsid w:val="00D04D6A"/>
    <w:rsid w:val="00D07539"/>
    <w:rsid w:val="00D116DD"/>
    <w:rsid w:val="00D117BB"/>
    <w:rsid w:val="00D117D6"/>
    <w:rsid w:val="00D12135"/>
    <w:rsid w:val="00D1341A"/>
    <w:rsid w:val="00D13DDE"/>
    <w:rsid w:val="00D1527C"/>
    <w:rsid w:val="00D168B5"/>
    <w:rsid w:val="00D169D3"/>
    <w:rsid w:val="00D16FF5"/>
    <w:rsid w:val="00D17B07"/>
    <w:rsid w:val="00D21DAA"/>
    <w:rsid w:val="00D22957"/>
    <w:rsid w:val="00D24142"/>
    <w:rsid w:val="00D2635F"/>
    <w:rsid w:val="00D27E97"/>
    <w:rsid w:val="00D30026"/>
    <w:rsid w:val="00D30643"/>
    <w:rsid w:val="00D31008"/>
    <w:rsid w:val="00D32B2C"/>
    <w:rsid w:val="00D33BD1"/>
    <w:rsid w:val="00D375E3"/>
    <w:rsid w:val="00D37D57"/>
    <w:rsid w:val="00D417C4"/>
    <w:rsid w:val="00D4280F"/>
    <w:rsid w:val="00D42EFC"/>
    <w:rsid w:val="00D432FC"/>
    <w:rsid w:val="00D43A2B"/>
    <w:rsid w:val="00D43A69"/>
    <w:rsid w:val="00D45FE6"/>
    <w:rsid w:val="00D46F5E"/>
    <w:rsid w:val="00D47336"/>
    <w:rsid w:val="00D5090C"/>
    <w:rsid w:val="00D51325"/>
    <w:rsid w:val="00D51541"/>
    <w:rsid w:val="00D51681"/>
    <w:rsid w:val="00D52B16"/>
    <w:rsid w:val="00D53DA0"/>
    <w:rsid w:val="00D545EB"/>
    <w:rsid w:val="00D54948"/>
    <w:rsid w:val="00D56B0B"/>
    <w:rsid w:val="00D57257"/>
    <w:rsid w:val="00D57EA4"/>
    <w:rsid w:val="00D605A1"/>
    <w:rsid w:val="00D60B8F"/>
    <w:rsid w:val="00D636BA"/>
    <w:rsid w:val="00D65303"/>
    <w:rsid w:val="00D67977"/>
    <w:rsid w:val="00D74BDB"/>
    <w:rsid w:val="00D74FD5"/>
    <w:rsid w:val="00D75045"/>
    <w:rsid w:val="00D75796"/>
    <w:rsid w:val="00D75D64"/>
    <w:rsid w:val="00D76988"/>
    <w:rsid w:val="00D77F09"/>
    <w:rsid w:val="00D80898"/>
    <w:rsid w:val="00D81371"/>
    <w:rsid w:val="00D81678"/>
    <w:rsid w:val="00D82667"/>
    <w:rsid w:val="00D82D2A"/>
    <w:rsid w:val="00D842C6"/>
    <w:rsid w:val="00D84797"/>
    <w:rsid w:val="00D86359"/>
    <w:rsid w:val="00D86E29"/>
    <w:rsid w:val="00D872C9"/>
    <w:rsid w:val="00D904E3"/>
    <w:rsid w:val="00D91E1B"/>
    <w:rsid w:val="00D929EE"/>
    <w:rsid w:val="00D93266"/>
    <w:rsid w:val="00D9332A"/>
    <w:rsid w:val="00D943CA"/>
    <w:rsid w:val="00D94C6B"/>
    <w:rsid w:val="00D95F3E"/>
    <w:rsid w:val="00D96BC0"/>
    <w:rsid w:val="00D96C3D"/>
    <w:rsid w:val="00DA12CF"/>
    <w:rsid w:val="00DA13E0"/>
    <w:rsid w:val="00DA239E"/>
    <w:rsid w:val="00DA2DE6"/>
    <w:rsid w:val="00DA3292"/>
    <w:rsid w:val="00DA33D7"/>
    <w:rsid w:val="00DA55B2"/>
    <w:rsid w:val="00DA5C0A"/>
    <w:rsid w:val="00DA6E8F"/>
    <w:rsid w:val="00DA797B"/>
    <w:rsid w:val="00DB19E6"/>
    <w:rsid w:val="00DB1B61"/>
    <w:rsid w:val="00DB537A"/>
    <w:rsid w:val="00DB60E2"/>
    <w:rsid w:val="00DB6EA7"/>
    <w:rsid w:val="00DB7782"/>
    <w:rsid w:val="00DB79B2"/>
    <w:rsid w:val="00DC3AC1"/>
    <w:rsid w:val="00DC58C2"/>
    <w:rsid w:val="00DC689F"/>
    <w:rsid w:val="00DC6D66"/>
    <w:rsid w:val="00DC70C6"/>
    <w:rsid w:val="00DC7A29"/>
    <w:rsid w:val="00DD0F61"/>
    <w:rsid w:val="00DD0FA4"/>
    <w:rsid w:val="00DD2555"/>
    <w:rsid w:val="00DD25A5"/>
    <w:rsid w:val="00DD34AC"/>
    <w:rsid w:val="00DD582B"/>
    <w:rsid w:val="00DD6C6D"/>
    <w:rsid w:val="00DE049F"/>
    <w:rsid w:val="00DE3258"/>
    <w:rsid w:val="00DE38C4"/>
    <w:rsid w:val="00DE3917"/>
    <w:rsid w:val="00DE50E6"/>
    <w:rsid w:val="00DE5806"/>
    <w:rsid w:val="00DE67C5"/>
    <w:rsid w:val="00DE7319"/>
    <w:rsid w:val="00DF1F0F"/>
    <w:rsid w:val="00DF2236"/>
    <w:rsid w:val="00DF2D9A"/>
    <w:rsid w:val="00DF4547"/>
    <w:rsid w:val="00DF5A20"/>
    <w:rsid w:val="00DF5C0D"/>
    <w:rsid w:val="00DF6615"/>
    <w:rsid w:val="00DF6F41"/>
    <w:rsid w:val="00DF7AC0"/>
    <w:rsid w:val="00E00A69"/>
    <w:rsid w:val="00E00E5D"/>
    <w:rsid w:val="00E02D4D"/>
    <w:rsid w:val="00E040C2"/>
    <w:rsid w:val="00E0427B"/>
    <w:rsid w:val="00E06F66"/>
    <w:rsid w:val="00E07C12"/>
    <w:rsid w:val="00E1166B"/>
    <w:rsid w:val="00E12CDD"/>
    <w:rsid w:val="00E1310C"/>
    <w:rsid w:val="00E13BA2"/>
    <w:rsid w:val="00E147DF"/>
    <w:rsid w:val="00E15696"/>
    <w:rsid w:val="00E15D85"/>
    <w:rsid w:val="00E17030"/>
    <w:rsid w:val="00E1735B"/>
    <w:rsid w:val="00E17B72"/>
    <w:rsid w:val="00E20C56"/>
    <w:rsid w:val="00E2421D"/>
    <w:rsid w:val="00E248C2"/>
    <w:rsid w:val="00E24C91"/>
    <w:rsid w:val="00E24E89"/>
    <w:rsid w:val="00E25FCD"/>
    <w:rsid w:val="00E264B9"/>
    <w:rsid w:val="00E27C58"/>
    <w:rsid w:val="00E30148"/>
    <w:rsid w:val="00E31207"/>
    <w:rsid w:val="00E33DF4"/>
    <w:rsid w:val="00E34126"/>
    <w:rsid w:val="00E34518"/>
    <w:rsid w:val="00E41296"/>
    <w:rsid w:val="00E41522"/>
    <w:rsid w:val="00E416A2"/>
    <w:rsid w:val="00E42017"/>
    <w:rsid w:val="00E434B4"/>
    <w:rsid w:val="00E43747"/>
    <w:rsid w:val="00E445F8"/>
    <w:rsid w:val="00E44A8D"/>
    <w:rsid w:val="00E4539B"/>
    <w:rsid w:val="00E45FCE"/>
    <w:rsid w:val="00E47977"/>
    <w:rsid w:val="00E50928"/>
    <w:rsid w:val="00E50C30"/>
    <w:rsid w:val="00E51EEE"/>
    <w:rsid w:val="00E532C9"/>
    <w:rsid w:val="00E5385A"/>
    <w:rsid w:val="00E5401E"/>
    <w:rsid w:val="00E56FF5"/>
    <w:rsid w:val="00E612C5"/>
    <w:rsid w:val="00E61953"/>
    <w:rsid w:val="00E63B43"/>
    <w:rsid w:val="00E63D3B"/>
    <w:rsid w:val="00E64348"/>
    <w:rsid w:val="00E65DCA"/>
    <w:rsid w:val="00E665AA"/>
    <w:rsid w:val="00E70A58"/>
    <w:rsid w:val="00E71683"/>
    <w:rsid w:val="00E7228A"/>
    <w:rsid w:val="00E723AF"/>
    <w:rsid w:val="00E726B4"/>
    <w:rsid w:val="00E7333D"/>
    <w:rsid w:val="00E73C59"/>
    <w:rsid w:val="00E744D9"/>
    <w:rsid w:val="00E74615"/>
    <w:rsid w:val="00E74B36"/>
    <w:rsid w:val="00E74DE7"/>
    <w:rsid w:val="00E74FB0"/>
    <w:rsid w:val="00E77C54"/>
    <w:rsid w:val="00E8091E"/>
    <w:rsid w:val="00E810E2"/>
    <w:rsid w:val="00E815D8"/>
    <w:rsid w:val="00E81A0C"/>
    <w:rsid w:val="00E81B27"/>
    <w:rsid w:val="00E820B0"/>
    <w:rsid w:val="00E8372A"/>
    <w:rsid w:val="00E8397F"/>
    <w:rsid w:val="00E83B1E"/>
    <w:rsid w:val="00E841CD"/>
    <w:rsid w:val="00E8438A"/>
    <w:rsid w:val="00E85EE8"/>
    <w:rsid w:val="00E8617E"/>
    <w:rsid w:val="00E905D9"/>
    <w:rsid w:val="00E91A9A"/>
    <w:rsid w:val="00E93720"/>
    <w:rsid w:val="00E93E95"/>
    <w:rsid w:val="00E950EC"/>
    <w:rsid w:val="00E9524D"/>
    <w:rsid w:val="00E953F0"/>
    <w:rsid w:val="00E967EC"/>
    <w:rsid w:val="00E96DD3"/>
    <w:rsid w:val="00E97E34"/>
    <w:rsid w:val="00EA129E"/>
    <w:rsid w:val="00EA3123"/>
    <w:rsid w:val="00EA47EE"/>
    <w:rsid w:val="00EA58BF"/>
    <w:rsid w:val="00EA5BFE"/>
    <w:rsid w:val="00EB1670"/>
    <w:rsid w:val="00EB1DC5"/>
    <w:rsid w:val="00EB26E0"/>
    <w:rsid w:val="00EB37D2"/>
    <w:rsid w:val="00EB3E95"/>
    <w:rsid w:val="00EB4BD5"/>
    <w:rsid w:val="00EB4BE2"/>
    <w:rsid w:val="00EB4F68"/>
    <w:rsid w:val="00EB60D3"/>
    <w:rsid w:val="00EB7511"/>
    <w:rsid w:val="00EC0294"/>
    <w:rsid w:val="00EC147C"/>
    <w:rsid w:val="00EC2A7A"/>
    <w:rsid w:val="00EC3BD6"/>
    <w:rsid w:val="00EC4273"/>
    <w:rsid w:val="00EC51BE"/>
    <w:rsid w:val="00EC5E2F"/>
    <w:rsid w:val="00EC7F79"/>
    <w:rsid w:val="00ED0748"/>
    <w:rsid w:val="00ED11FF"/>
    <w:rsid w:val="00ED12CA"/>
    <w:rsid w:val="00ED164D"/>
    <w:rsid w:val="00ED185A"/>
    <w:rsid w:val="00ED218C"/>
    <w:rsid w:val="00ED26E6"/>
    <w:rsid w:val="00ED3DB8"/>
    <w:rsid w:val="00ED5C7B"/>
    <w:rsid w:val="00ED5E9C"/>
    <w:rsid w:val="00ED7E45"/>
    <w:rsid w:val="00ED7EBC"/>
    <w:rsid w:val="00EE1534"/>
    <w:rsid w:val="00EE2012"/>
    <w:rsid w:val="00EE22C9"/>
    <w:rsid w:val="00EE3777"/>
    <w:rsid w:val="00EE3C68"/>
    <w:rsid w:val="00EE439E"/>
    <w:rsid w:val="00EE4ABF"/>
    <w:rsid w:val="00EE4AF7"/>
    <w:rsid w:val="00EE4D37"/>
    <w:rsid w:val="00EE5501"/>
    <w:rsid w:val="00EE687E"/>
    <w:rsid w:val="00EE6C6E"/>
    <w:rsid w:val="00EE7336"/>
    <w:rsid w:val="00EF1B40"/>
    <w:rsid w:val="00EF5713"/>
    <w:rsid w:val="00EF60A3"/>
    <w:rsid w:val="00F00B6B"/>
    <w:rsid w:val="00F0115E"/>
    <w:rsid w:val="00F02BF2"/>
    <w:rsid w:val="00F038DD"/>
    <w:rsid w:val="00F043D3"/>
    <w:rsid w:val="00F047B4"/>
    <w:rsid w:val="00F04928"/>
    <w:rsid w:val="00F0542C"/>
    <w:rsid w:val="00F0635C"/>
    <w:rsid w:val="00F13943"/>
    <w:rsid w:val="00F13EAB"/>
    <w:rsid w:val="00F1506A"/>
    <w:rsid w:val="00F20776"/>
    <w:rsid w:val="00F2121D"/>
    <w:rsid w:val="00F21453"/>
    <w:rsid w:val="00F224CB"/>
    <w:rsid w:val="00F22BBF"/>
    <w:rsid w:val="00F254CE"/>
    <w:rsid w:val="00F27DF5"/>
    <w:rsid w:val="00F30A9D"/>
    <w:rsid w:val="00F348FF"/>
    <w:rsid w:val="00F34E01"/>
    <w:rsid w:val="00F35000"/>
    <w:rsid w:val="00F355CC"/>
    <w:rsid w:val="00F35735"/>
    <w:rsid w:val="00F35E25"/>
    <w:rsid w:val="00F35EF9"/>
    <w:rsid w:val="00F36B00"/>
    <w:rsid w:val="00F36F25"/>
    <w:rsid w:val="00F3720D"/>
    <w:rsid w:val="00F41810"/>
    <w:rsid w:val="00F428D5"/>
    <w:rsid w:val="00F42CFA"/>
    <w:rsid w:val="00F43783"/>
    <w:rsid w:val="00F441D4"/>
    <w:rsid w:val="00F44E57"/>
    <w:rsid w:val="00F46671"/>
    <w:rsid w:val="00F46B5A"/>
    <w:rsid w:val="00F4714C"/>
    <w:rsid w:val="00F47BCE"/>
    <w:rsid w:val="00F51E14"/>
    <w:rsid w:val="00F5220E"/>
    <w:rsid w:val="00F529C9"/>
    <w:rsid w:val="00F53158"/>
    <w:rsid w:val="00F54DBE"/>
    <w:rsid w:val="00F61674"/>
    <w:rsid w:val="00F61DEF"/>
    <w:rsid w:val="00F6278C"/>
    <w:rsid w:val="00F64E02"/>
    <w:rsid w:val="00F65C17"/>
    <w:rsid w:val="00F66C91"/>
    <w:rsid w:val="00F670A1"/>
    <w:rsid w:val="00F67669"/>
    <w:rsid w:val="00F67D77"/>
    <w:rsid w:val="00F71370"/>
    <w:rsid w:val="00F71C04"/>
    <w:rsid w:val="00F71ED8"/>
    <w:rsid w:val="00F72BD5"/>
    <w:rsid w:val="00F736BB"/>
    <w:rsid w:val="00F74F2F"/>
    <w:rsid w:val="00F75520"/>
    <w:rsid w:val="00F75E22"/>
    <w:rsid w:val="00F769B2"/>
    <w:rsid w:val="00F7738E"/>
    <w:rsid w:val="00F776BC"/>
    <w:rsid w:val="00F77C7E"/>
    <w:rsid w:val="00F80974"/>
    <w:rsid w:val="00F817C2"/>
    <w:rsid w:val="00F82FDB"/>
    <w:rsid w:val="00F83C9D"/>
    <w:rsid w:val="00F85FF5"/>
    <w:rsid w:val="00F86231"/>
    <w:rsid w:val="00F86C6D"/>
    <w:rsid w:val="00F86E83"/>
    <w:rsid w:val="00F91389"/>
    <w:rsid w:val="00F92E87"/>
    <w:rsid w:val="00F9330F"/>
    <w:rsid w:val="00F93AEB"/>
    <w:rsid w:val="00F95A5E"/>
    <w:rsid w:val="00F95F4A"/>
    <w:rsid w:val="00F960EE"/>
    <w:rsid w:val="00F9621E"/>
    <w:rsid w:val="00FA00C8"/>
    <w:rsid w:val="00FA0619"/>
    <w:rsid w:val="00FA0D07"/>
    <w:rsid w:val="00FA24F9"/>
    <w:rsid w:val="00FA2D7F"/>
    <w:rsid w:val="00FA32B0"/>
    <w:rsid w:val="00FA357B"/>
    <w:rsid w:val="00FA4176"/>
    <w:rsid w:val="00FA4C68"/>
    <w:rsid w:val="00FA5AC0"/>
    <w:rsid w:val="00FA5E14"/>
    <w:rsid w:val="00FA608A"/>
    <w:rsid w:val="00FA6566"/>
    <w:rsid w:val="00FA7862"/>
    <w:rsid w:val="00FB02EF"/>
    <w:rsid w:val="00FB08DB"/>
    <w:rsid w:val="00FB16FB"/>
    <w:rsid w:val="00FB1C5E"/>
    <w:rsid w:val="00FB31A3"/>
    <w:rsid w:val="00FB3F42"/>
    <w:rsid w:val="00FB47C2"/>
    <w:rsid w:val="00FB47E0"/>
    <w:rsid w:val="00FB74D5"/>
    <w:rsid w:val="00FC0089"/>
    <w:rsid w:val="00FC0368"/>
    <w:rsid w:val="00FC0704"/>
    <w:rsid w:val="00FC0C61"/>
    <w:rsid w:val="00FC0ED3"/>
    <w:rsid w:val="00FC39DD"/>
    <w:rsid w:val="00FC3C8B"/>
    <w:rsid w:val="00FC5912"/>
    <w:rsid w:val="00FC5971"/>
    <w:rsid w:val="00FC5E7B"/>
    <w:rsid w:val="00FC7713"/>
    <w:rsid w:val="00FD29F3"/>
    <w:rsid w:val="00FD4012"/>
    <w:rsid w:val="00FE0209"/>
    <w:rsid w:val="00FE051D"/>
    <w:rsid w:val="00FE0C5B"/>
    <w:rsid w:val="00FE143B"/>
    <w:rsid w:val="00FE2A58"/>
    <w:rsid w:val="00FE2EB6"/>
    <w:rsid w:val="00FE2F25"/>
    <w:rsid w:val="00FE3387"/>
    <w:rsid w:val="00FE521E"/>
    <w:rsid w:val="00FE69AC"/>
    <w:rsid w:val="00FE6C92"/>
    <w:rsid w:val="00FE6E8C"/>
    <w:rsid w:val="00FF06E1"/>
    <w:rsid w:val="00FF1449"/>
    <w:rsid w:val="00FF1DC7"/>
    <w:rsid w:val="00FF223C"/>
    <w:rsid w:val="00FF241E"/>
    <w:rsid w:val="00FF28FE"/>
    <w:rsid w:val="00FF3AB2"/>
    <w:rsid w:val="00FF67EE"/>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rsid w:val="00E479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rsid w:val="00E47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E1E3-EEE6-479C-BA07-A9A60C2A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3</Pages>
  <Words>329</Words>
  <Characters>1876</Characters>
  <Application>Microsoft Office Word</Application>
  <DocSecurity>0</DocSecurity>
  <PresentationFormat/>
  <Lines>15</Lines>
  <Paragraphs>4</Paragraphs>
  <Slides>0</Slides>
  <Notes>0</Notes>
  <HiddenSlides>0</HiddenSlides>
  <MMClips>0</MMClips>
  <ScaleCrop>false</ScaleCrop>
  <Company>Sky123.Org</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442</cp:revision>
  <cp:lastPrinted>2016-05-19T02:39:00Z</cp:lastPrinted>
  <dcterms:created xsi:type="dcterms:W3CDTF">2016-02-25T01:50:00Z</dcterms:created>
  <dcterms:modified xsi:type="dcterms:W3CDTF">2016-07-28T02:51:00Z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